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685F5" w14:textId="32E751C5" w:rsidR="009A3DC8" w:rsidRPr="00335984" w:rsidRDefault="009A3DC8" w:rsidP="00E277C5">
      <w:pPr>
        <w:ind w:right="-625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el-GR"/>
        </w:rPr>
      </w:pPr>
    </w:p>
    <w:p w14:paraId="34A19CE3" w14:textId="77777777" w:rsidR="003015D7" w:rsidRPr="009516BB" w:rsidRDefault="003015D7" w:rsidP="003015D7">
      <w:pPr>
        <w:jc w:val="center"/>
        <w:rPr>
          <w:rFonts w:ascii="Verdana" w:hAnsi="Verdana" w:cs="Arial"/>
          <w:b/>
          <w:sz w:val="24"/>
          <w:szCs w:val="24"/>
          <w:lang w:eastAsia="el-GR"/>
        </w:rPr>
      </w:pPr>
      <w:r w:rsidRPr="009516BB">
        <w:rPr>
          <w:rFonts w:ascii="Verdana" w:hAnsi="Verdana" w:cs="Arial"/>
          <w:b/>
          <w:sz w:val="24"/>
          <w:szCs w:val="24"/>
        </w:rPr>
        <w:t>ΕΙΣΗΓΗΣΗ</w:t>
      </w:r>
    </w:p>
    <w:p w14:paraId="12DDF8C9" w14:textId="487FAA17" w:rsidR="009516BB" w:rsidRDefault="003015D7" w:rsidP="003015D7">
      <w:pPr>
        <w:jc w:val="center"/>
        <w:rPr>
          <w:rFonts w:ascii="Verdana" w:hAnsi="Verdana"/>
          <w:b/>
          <w:sz w:val="20"/>
          <w:szCs w:val="20"/>
        </w:rPr>
      </w:pPr>
      <w:r w:rsidRPr="00335984">
        <w:rPr>
          <w:rFonts w:ascii="Verdana" w:hAnsi="Verdana" w:cs="Arial"/>
          <w:b/>
          <w:sz w:val="20"/>
          <w:szCs w:val="20"/>
        </w:rPr>
        <w:t xml:space="preserve">της </w:t>
      </w:r>
      <w:r w:rsidRPr="00335984">
        <w:rPr>
          <w:rFonts w:ascii="Verdana" w:hAnsi="Verdana"/>
          <w:b/>
          <w:sz w:val="20"/>
          <w:szCs w:val="20"/>
        </w:rPr>
        <w:t xml:space="preserve">Αντιδημάρχου </w:t>
      </w:r>
      <w:r w:rsidR="009516BB">
        <w:rPr>
          <w:rFonts w:ascii="Verdana" w:hAnsi="Verdana"/>
          <w:b/>
          <w:sz w:val="20"/>
          <w:szCs w:val="20"/>
        </w:rPr>
        <w:t>Πρόνοιας, Κοινωνικής Προστασίας &amp; Παιδείας</w:t>
      </w:r>
    </w:p>
    <w:p w14:paraId="2729149F" w14:textId="689DECE4" w:rsidR="003015D7" w:rsidRPr="00335984" w:rsidRDefault="003015D7" w:rsidP="003015D7">
      <w:pPr>
        <w:jc w:val="center"/>
        <w:rPr>
          <w:rFonts w:ascii="Verdana" w:hAnsi="Verdana" w:cs="Arial"/>
          <w:b/>
          <w:sz w:val="20"/>
          <w:szCs w:val="20"/>
        </w:rPr>
      </w:pPr>
      <w:r w:rsidRPr="00335984">
        <w:rPr>
          <w:rFonts w:ascii="Verdana" w:hAnsi="Verdana" w:cs="Arial"/>
          <w:b/>
          <w:sz w:val="20"/>
          <w:szCs w:val="20"/>
        </w:rPr>
        <w:t>Προς</w:t>
      </w:r>
    </w:p>
    <w:p w14:paraId="62F0CEC0" w14:textId="44B06BE5" w:rsidR="003015D7" w:rsidRPr="00335984" w:rsidRDefault="003015D7" w:rsidP="003015D7">
      <w:pPr>
        <w:jc w:val="center"/>
        <w:rPr>
          <w:rFonts w:ascii="Verdana" w:hAnsi="Verdana" w:cs="Arial"/>
          <w:b/>
          <w:sz w:val="20"/>
          <w:szCs w:val="20"/>
        </w:rPr>
      </w:pPr>
      <w:r w:rsidRPr="00335984">
        <w:rPr>
          <w:rFonts w:ascii="Verdana" w:hAnsi="Verdana" w:cs="Arial"/>
          <w:b/>
          <w:sz w:val="20"/>
          <w:szCs w:val="20"/>
        </w:rPr>
        <w:t>Την Οικονομική Επιτροπή του Δήμου Αιγιαλείας</w:t>
      </w:r>
    </w:p>
    <w:p w14:paraId="3F2807EF" w14:textId="77777777" w:rsidR="004660BE" w:rsidRPr="00335984" w:rsidRDefault="004660BE" w:rsidP="003015D7">
      <w:pPr>
        <w:jc w:val="center"/>
        <w:rPr>
          <w:rFonts w:ascii="Verdana" w:hAnsi="Verdana" w:cs="Arial"/>
          <w:b/>
          <w:sz w:val="20"/>
          <w:szCs w:val="20"/>
        </w:rPr>
      </w:pPr>
    </w:p>
    <w:p w14:paraId="12F8AA2A" w14:textId="6D15E42A" w:rsidR="00880C30" w:rsidRPr="009516BB" w:rsidRDefault="004660BE" w:rsidP="004660B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516BB">
        <w:rPr>
          <w:rFonts w:ascii="Verdana" w:hAnsi="Verdana"/>
          <w:b/>
          <w:sz w:val="20"/>
          <w:szCs w:val="20"/>
        </w:rPr>
        <w:t xml:space="preserve">ΘΕΜΑ: « Καθορισμός αριθμού μαθητευόμενων </w:t>
      </w:r>
      <w:proofErr w:type="spellStart"/>
      <w:r w:rsidRPr="009516BB">
        <w:rPr>
          <w:rFonts w:ascii="Verdana" w:hAnsi="Verdana"/>
          <w:b/>
          <w:sz w:val="20"/>
          <w:szCs w:val="20"/>
        </w:rPr>
        <w:t>Μεταλυκειακ</w:t>
      </w:r>
      <w:r w:rsidR="009516BB">
        <w:rPr>
          <w:rFonts w:ascii="Verdana" w:hAnsi="Verdana"/>
          <w:b/>
          <w:sz w:val="20"/>
          <w:szCs w:val="20"/>
        </w:rPr>
        <w:t>ό</w:t>
      </w:r>
      <w:proofErr w:type="spellEnd"/>
      <w:r w:rsidRPr="009516BB">
        <w:rPr>
          <w:rFonts w:ascii="Verdana" w:hAnsi="Verdana"/>
          <w:b/>
          <w:sz w:val="20"/>
          <w:szCs w:val="20"/>
        </w:rPr>
        <w:t xml:space="preserve"> Έτος – Τάξη Μαθητείας ΕΠΑ.Λ</w:t>
      </w:r>
      <w:r w:rsidR="009516BB">
        <w:rPr>
          <w:rFonts w:ascii="Verdana" w:hAnsi="Verdana"/>
          <w:b/>
          <w:sz w:val="20"/>
          <w:szCs w:val="20"/>
        </w:rPr>
        <w:t>,</w:t>
      </w:r>
      <w:r w:rsidRPr="009516BB">
        <w:rPr>
          <w:rFonts w:ascii="Verdana" w:hAnsi="Verdana"/>
          <w:b/>
          <w:sz w:val="20"/>
          <w:szCs w:val="20"/>
        </w:rPr>
        <w:t xml:space="preserve"> για απασχόληση στον Δήμο Αιγιαλείας</w:t>
      </w:r>
      <w:r w:rsidR="009516BB">
        <w:rPr>
          <w:rFonts w:ascii="Verdana" w:hAnsi="Verdana"/>
          <w:b/>
          <w:sz w:val="20"/>
          <w:szCs w:val="20"/>
        </w:rPr>
        <w:t xml:space="preserve"> </w:t>
      </w:r>
      <w:r w:rsidRPr="009516BB">
        <w:rPr>
          <w:rFonts w:ascii="Verdana" w:hAnsi="Verdana"/>
          <w:b/>
          <w:sz w:val="20"/>
          <w:szCs w:val="20"/>
        </w:rPr>
        <w:t>με ΑΦΜ 997934121</w:t>
      </w:r>
      <w:r w:rsidR="009516BB">
        <w:rPr>
          <w:rFonts w:ascii="Verdana" w:hAnsi="Verdana"/>
          <w:b/>
          <w:sz w:val="20"/>
          <w:szCs w:val="20"/>
        </w:rPr>
        <w:t>,</w:t>
      </w:r>
      <w:r w:rsidRPr="009516BB">
        <w:rPr>
          <w:rFonts w:ascii="Verdana" w:hAnsi="Verdana"/>
          <w:b/>
          <w:sz w:val="20"/>
          <w:szCs w:val="20"/>
        </w:rPr>
        <w:t xml:space="preserve"> κατά την περίοδο 2022-2023» </w:t>
      </w:r>
    </w:p>
    <w:p w14:paraId="1D18BD17" w14:textId="591ACE4E" w:rsidR="004660BE" w:rsidRPr="009516BB" w:rsidRDefault="004660BE" w:rsidP="004660B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746973F4" w14:textId="77777777" w:rsidR="004660BE" w:rsidRPr="009516BB" w:rsidRDefault="004660BE" w:rsidP="004660B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pPr w:leftFromText="180" w:rightFromText="180" w:vertAnchor="page" w:horzAnchor="margin" w:tblpXSpec="center" w:tblpY="1111"/>
        <w:tblW w:w="8614" w:type="dxa"/>
        <w:tblLayout w:type="fixed"/>
        <w:tblLook w:val="0000" w:firstRow="0" w:lastRow="0" w:firstColumn="0" w:lastColumn="0" w:noHBand="0" w:noVBand="0"/>
      </w:tblPr>
      <w:tblGrid>
        <w:gridCol w:w="4786"/>
        <w:gridCol w:w="3828"/>
      </w:tblGrid>
      <w:tr w:rsidR="00541AC0" w:rsidRPr="00335984" w14:paraId="48F4E79B" w14:textId="77777777" w:rsidTr="00541AC0">
        <w:trPr>
          <w:trHeight w:val="289"/>
        </w:trPr>
        <w:tc>
          <w:tcPr>
            <w:tcW w:w="4786" w:type="dxa"/>
            <w:shd w:val="clear" w:color="auto" w:fill="auto"/>
          </w:tcPr>
          <w:p w14:paraId="38E3519C" w14:textId="6D746B53" w:rsidR="009A3DC8" w:rsidRPr="00335984" w:rsidRDefault="009A3DC8" w:rsidP="003B16BF">
            <w:pPr>
              <w:snapToGrid w:val="0"/>
              <w:spacing w:after="0" w:line="240" w:lineRule="auto"/>
              <w:ind w:right="-625"/>
              <w:rPr>
                <w:rFonts w:ascii="Verdana" w:hAnsi="Verdana" w:cs="Calibri"/>
                <w:b/>
                <w:sz w:val="20"/>
                <w:szCs w:val="20"/>
              </w:rPr>
            </w:pPr>
            <w:r w:rsidRPr="00335984">
              <w:rPr>
                <w:rFonts w:ascii="Verdana" w:eastAsia="Times New Roman" w:hAnsi="Verdana" w:cs="Arial"/>
                <w:b/>
                <w:noProof/>
                <w:sz w:val="20"/>
                <w:szCs w:val="20"/>
                <w:u w:val="single"/>
                <w:lang w:eastAsia="el-GR"/>
              </w:rPr>
              <w:drawing>
                <wp:anchor distT="0" distB="0" distL="114935" distR="114935" simplePos="0" relativeHeight="251657728" behindDoc="1" locked="0" layoutInCell="1" allowOverlap="1" wp14:anchorId="78860190" wp14:editId="4141F979">
                  <wp:simplePos x="0" y="0"/>
                  <wp:positionH relativeFrom="column">
                    <wp:posOffset>587375</wp:posOffset>
                  </wp:positionH>
                  <wp:positionV relativeFrom="paragraph">
                    <wp:posOffset>0</wp:posOffset>
                  </wp:positionV>
                  <wp:extent cx="448310" cy="361950"/>
                  <wp:effectExtent l="19050" t="0" r="8890" b="0"/>
                  <wp:wrapTight wrapText="bothSides">
                    <wp:wrapPolygon edited="0">
                      <wp:start x="-918" y="0"/>
                      <wp:lineTo x="-918" y="20463"/>
                      <wp:lineTo x="22028" y="20463"/>
                      <wp:lineTo x="22028" y="0"/>
                      <wp:lineTo x="-918" y="0"/>
                    </wp:wrapPolygon>
                  </wp:wrapTight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5CB0BA4" w14:textId="563D5307" w:rsidR="009A3DC8" w:rsidRPr="00335984" w:rsidRDefault="009A3DC8" w:rsidP="003B16BF">
            <w:pPr>
              <w:snapToGrid w:val="0"/>
              <w:spacing w:after="0" w:line="240" w:lineRule="auto"/>
              <w:ind w:right="-625"/>
              <w:rPr>
                <w:rFonts w:ascii="Verdana" w:hAnsi="Verdana" w:cs="Calibri"/>
                <w:b/>
                <w:sz w:val="20"/>
                <w:szCs w:val="20"/>
              </w:rPr>
            </w:pPr>
          </w:p>
          <w:p w14:paraId="61D159E6" w14:textId="529FF465" w:rsidR="005447A4" w:rsidRDefault="005447A4" w:rsidP="003B16BF">
            <w:pPr>
              <w:snapToGrid w:val="0"/>
              <w:spacing w:after="0" w:line="240" w:lineRule="auto"/>
              <w:ind w:right="-625"/>
              <w:rPr>
                <w:rFonts w:ascii="Verdana" w:hAnsi="Verdana" w:cs="Calibri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3F6D5AEB" w14:textId="49F8EF75" w:rsidR="00541AC0" w:rsidRPr="00335984" w:rsidRDefault="005447A4" w:rsidP="003B16BF">
            <w:pPr>
              <w:snapToGrid w:val="0"/>
              <w:spacing w:after="0" w:line="240" w:lineRule="auto"/>
              <w:ind w:right="-625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E</w:t>
            </w:r>
            <w:r w:rsidR="00541AC0" w:rsidRPr="00335984">
              <w:rPr>
                <w:rFonts w:ascii="Verdana" w:hAnsi="Verdana" w:cs="Calibri"/>
                <w:b/>
                <w:sz w:val="20"/>
                <w:szCs w:val="20"/>
              </w:rPr>
              <w:t>ΛΛΗΝΙΚΗ ΔΗΜΟΚΡΑΤΙΑ</w:t>
            </w:r>
          </w:p>
        </w:tc>
        <w:tc>
          <w:tcPr>
            <w:tcW w:w="3828" w:type="dxa"/>
            <w:shd w:val="clear" w:color="auto" w:fill="auto"/>
          </w:tcPr>
          <w:p w14:paraId="6E0999B9" w14:textId="77777777" w:rsidR="009A3DC8" w:rsidRPr="00335984" w:rsidRDefault="00541AC0" w:rsidP="003B16BF">
            <w:pPr>
              <w:snapToGrid w:val="0"/>
              <w:spacing w:after="0" w:line="240" w:lineRule="auto"/>
              <w:ind w:right="-625"/>
              <w:rPr>
                <w:rFonts w:ascii="Verdana" w:hAnsi="Verdana" w:cs="Calibri"/>
                <w:b/>
                <w:sz w:val="20"/>
                <w:szCs w:val="20"/>
              </w:rPr>
            </w:pPr>
            <w:r w:rsidRPr="00335984">
              <w:rPr>
                <w:rFonts w:ascii="Verdana" w:hAnsi="Verdana" w:cs="Calibri"/>
                <w:b/>
                <w:sz w:val="20"/>
                <w:szCs w:val="20"/>
              </w:rPr>
              <w:t xml:space="preserve">             </w:t>
            </w:r>
          </w:p>
          <w:p w14:paraId="24C25C01" w14:textId="77777777" w:rsidR="009A3DC8" w:rsidRPr="00335984" w:rsidRDefault="009A3DC8" w:rsidP="003B16BF">
            <w:pPr>
              <w:snapToGrid w:val="0"/>
              <w:spacing w:after="0" w:line="240" w:lineRule="auto"/>
              <w:ind w:right="-625"/>
              <w:rPr>
                <w:rFonts w:ascii="Verdana" w:hAnsi="Verdana" w:cs="Calibri"/>
                <w:b/>
                <w:sz w:val="20"/>
                <w:szCs w:val="20"/>
              </w:rPr>
            </w:pPr>
          </w:p>
          <w:p w14:paraId="6145AC6E" w14:textId="0D259108" w:rsidR="00541AC0" w:rsidRPr="00335984" w:rsidRDefault="009A3DC8" w:rsidP="003B16BF">
            <w:pPr>
              <w:snapToGrid w:val="0"/>
              <w:spacing w:after="0" w:line="240" w:lineRule="auto"/>
              <w:ind w:right="-625"/>
              <w:rPr>
                <w:rFonts w:ascii="Verdana" w:hAnsi="Verdana" w:cs="Calibri"/>
                <w:b/>
                <w:sz w:val="20"/>
                <w:szCs w:val="20"/>
              </w:rPr>
            </w:pPr>
            <w:r w:rsidRPr="00335984">
              <w:rPr>
                <w:rFonts w:ascii="Verdana" w:hAnsi="Verdana" w:cs="Calibri"/>
                <w:b/>
                <w:sz w:val="20"/>
                <w:szCs w:val="20"/>
              </w:rPr>
              <w:t xml:space="preserve">         </w:t>
            </w:r>
            <w:r w:rsidR="00541AC0" w:rsidRPr="00335984">
              <w:rPr>
                <w:rFonts w:ascii="Verdana" w:hAnsi="Verdana" w:cs="Calibri"/>
                <w:b/>
                <w:sz w:val="20"/>
                <w:szCs w:val="20"/>
              </w:rPr>
              <w:t xml:space="preserve">Αίγιο, </w:t>
            </w:r>
            <w:r w:rsidR="00541AC0" w:rsidRPr="00335984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541AC0" w:rsidRPr="00335984" w14:paraId="24A8C991" w14:textId="77777777" w:rsidTr="00541AC0">
        <w:trPr>
          <w:trHeight w:val="392"/>
        </w:trPr>
        <w:tc>
          <w:tcPr>
            <w:tcW w:w="4786" w:type="dxa"/>
            <w:shd w:val="clear" w:color="auto" w:fill="auto"/>
          </w:tcPr>
          <w:p w14:paraId="7665F182" w14:textId="6F2349F5" w:rsidR="00541AC0" w:rsidRPr="00335984" w:rsidRDefault="00541AC0" w:rsidP="003B16BF">
            <w:pPr>
              <w:snapToGrid w:val="0"/>
              <w:spacing w:after="0" w:line="240" w:lineRule="auto"/>
              <w:ind w:right="-625"/>
              <w:rPr>
                <w:rFonts w:ascii="Verdana" w:hAnsi="Verdana" w:cs="Calibri"/>
                <w:b/>
                <w:sz w:val="20"/>
                <w:szCs w:val="20"/>
              </w:rPr>
            </w:pPr>
            <w:r w:rsidRPr="00335984">
              <w:rPr>
                <w:rFonts w:ascii="Verdana" w:hAnsi="Verdana" w:cs="Calibri"/>
                <w:b/>
                <w:sz w:val="20"/>
                <w:szCs w:val="20"/>
              </w:rPr>
              <w:t>ΝΟΜΟΣ ΑΧΑΪΑΣ</w:t>
            </w:r>
          </w:p>
          <w:p w14:paraId="3FEEFE04" w14:textId="77777777" w:rsidR="00541AC0" w:rsidRPr="00335984" w:rsidRDefault="00541AC0" w:rsidP="003B16BF">
            <w:pPr>
              <w:snapToGrid w:val="0"/>
              <w:spacing w:after="0" w:line="240" w:lineRule="auto"/>
              <w:ind w:right="-625"/>
              <w:rPr>
                <w:rFonts w:ascii="Verdana" w:hAnsi="Verdana" w:cs="Calibri"/>
                <w:b/>
                <w:sz w:val="20"/>
                <w:szCs w:val="20"/>
              </w:rPr>
            </w:pPr>
            <w:r w:rsidRPr="00335984">
              <w:rPr>
                <w:rFonts w:ascii="Verdana" w:hAnsi="Verdana" w:cs="Calibri"/>
                <w:b/>
                <w:sz w:val="20"/>
                <w:szCs w:val="20"/>
              </w:rPr>
              <w:t>ΔΗΜΟΣ ΑΙΓΙΑΛΕΙΑΣ</w:t>
            </w:r>
          </w:p>
        </w:tc>
        <w:tc>
          <w:tcPr>
            <w:tcW w:w="3828" w:type="dxa"/>
            <w:shd w:val="clear" w:color="auto" w:fill="auto"/>
          </w:tcPr>
          <w:p w14:paraId="4E93A79C" w14:textId="77777777" w:rsidR="00541AC0" w:rsidRPr="00335984" w:rsidRDefault="00541AC0" w:rsidP="003B16BF">
            <w:pPr>
              <w:snapToGrid w:val="0"/>
              <w:spacing w:after="0" w:line="240" w:lineRule="auto"/>
              <w:ind w:right="-625"/>
              <w:rPr>
                <w:rFonts w:ascii="Verdana" w:hAnsi="Verdana" w:cs="Calibri"/>
                <w:b/>
                <w:sz w:val="20"/>
                <w:szCs w:val="20"/>
              </w:rPr>
            </w:pPr>
            <w:r w:rsidRPr="00335984">
              <w:rPr>
                <w:rFonts w:ascii="Verdana" w:hAnsi="Verdana" w:cs="Calibri"/>
                <w:b/>
                <w:sz w:val="20"/>
                <w:szCs w:val="20"/>
              </w:rPr>
              <w:t xml:space="preserve">             </w:t>
            </w:r>
          </w:p>
          <w:p w14:paraId="1191E271" w14:textId="77777777" w:rsidR="00541AC0" w:rsidRPr="00335984" w:rsidRDefault="00541AC0" w:rsidP="003B16BF">
            <w:pPr>
              <w:snapToGrid w:val="0"/>
              <w:spacing w:after="0" w:line="240" w:lineRule="auto"/>
              <w:ind w:right="-625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541AC0" w:rsidRPr="00335984" w14:paraId="6FA5CC10" w14:textId="77777777" w:rsidTr="00541AC0">
        <w:trPr>
          <w:trHeight w:val="273"/>
        </w:trPr>
        <w:tc>
          <w:tcPr>
            <w:tcW w:w="4786" w:type="dxa"/>
            <w:shd w:val="clear" w:color="auto" w:fill="auto"/>
          </w:tcPr>
          <w:p w14:paraId="7A498235" w14:textId="7E0FADAF" w:rsidR="00541AC0" w:rsidRPr="00335984" w:rsidRDefault="00541AC0" w:rsidP="003B16BF">
            <w:pPr>
              <w:snapToGrid w:val="0"/>
              <w:spacing w:after="0" w:line="240" w:lineRule="auto"/>
              <w:ind w:right="-625"/>
              <w:rPr>
                <w:rFonts w:ascii="Verdana" w:hAnsi="Verdana"/>
                <w:b/>
                <w:sz w:val="20"/>
                <w:szCs w:val="20"/>
              </w:rPr>
            </w:pPr>
            <w:r w:rsidRPr="00335984">
              <w:rPr>
                <w:rFonts w:ascii="Verdana" w:hAnsi="Verdana"/>
                <w:b/>
                <w:sz w:val="20"/>
                <w:szCs w:val="20"/>
              </w:rPr>
              <w:t xml:space="preserve">ΔΙΕΥΘΥΝΣΗ ΔΙΟΙΚΗΤΙΚΩΝ &amp; </w:t>
            </w:r>
          </w:p>
          <w:p w14:paraId="711536D8" w14:textId="77777777" w:rsidR="00541AC0" w:rsidRPr="00335984" w:rsidRDefault="00541AC0" w:rsidP="003B16BF">
            <w:pPr>
              <w:snapToGrid w:val="0"/>
              <w:spacing w:after="0" w:line="240" w:lineRule="auto"/>
              <w:ind w:right="-625"/>
              <w:rPr>
                <w:rFonts w:ascii="Verdana" w:hAnsi="Verdana" w:cs="Calibri"/>
                <w:b/>
                <w:sz w:val="20"/>
                <w:szCs w:val="20"/>
              </w:rPr>
            </w:pPr>
            <w:r w:rsidRPr="00335984">
              <w:rPr>
                <w:rFonts w:ascii="Verdana" w:hAnsi="Verdana"/>
                <w:b/>
                <w:sz w:val="20"/>
                <w:szCs w:val="20"/>
              </w:rPr>
              <w:t>ΟΙΚΟΝΟΜΙΚΩΝ ΥΠΗΡΕΣΙΩΝ</w:t>
            </w:r>
          </w:p>
        </w:tc>
        <w:tc>
          <w:tcPr>
            <w:tcW w:w="3828" w:type="dxa"/>
            <w:shd w:val="clear" w:color="auto" w:fill="auto"/>
          </w:tcPr>
          <w:p w14:paraId="55E5E598" w14:textId="6AA6FD85" w:rsidR="00541AC0" w:rsidRPr="00335984" w:rsidRDefault="003015D7" w:rsidP="003B16BF">
            <w:pPr>
              <w:snapToGrid w:val="0"/>
              <w:spacing w:after="0" w:line="240" w:lineRule="auto"/>
              <w:ind w:right="-625"/>
              <w:rPr>
                <w:rFonts w:ascii="Verdana" w:hAnsi="Verdana" w:cs="Calibri"/>
                <w:b/>
                <w:sz w:val="20"/>
                <w:szCs w:val="20"/>
              </w:rPr>
            </w:pPr>
            <w:r w:rsidRPr="00335984">
              <w:rPr>
                <w:rFonts w:ascii="Verdana" w:hAnsi="Verdana" w:cs="Calibri"/>
                <w:b/>
                <w:sz w:val="20"/>
                <w:szCs w:val="20"/>
              </w:rPr>
              <w:t xml:space="preserve"> </w:t>
            </w:r>
          </w:p>
        </w:tc>
      </w:tr>
      <w:tr w:rsidR="00541AC0" w:rsidRPr="00335984" w14:paraId="5F0FBD69" w14:textId="77777777" w:rsidTr="00541AC0">
        <w:trPr>
          <w:trHeight w:val="323"/>
        </w:trPr>
        <w:tc>
          <w:tcPr>
            <w:tcW w:w="4786" w:type="dxa"/>
            <w:shd w:val="clear" w:color="auto" w:fill="auto"/>
          </w:tcPr>
          <w:p w14:paraId="46926578" w14:textId="77777777" w:rsidR="00541AC0" w:rsidRPr="00335984" w:rsidRDefault="00541AC0" w:rsidP="003B16BF">
            <w:pPr>
              <w:spacing w:after="0" w:line="240" w:lineRule="auto"/>
              <w:ind w:right="-625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35984">
              <w:rPr>
                <w:rFonts w:ascii="Verdana" w:hAnsi="Verdana"/>
                <w:b/>
                <w:bCs/>
                <w:sz w:val="20"/>
                <w:szCs w:val="20"/>
              </w:rPr>
              <w:t>ΤΜΗΜΑ ΔΙΟΙΚΗΤΙΚΩΝ ΥΠΗΡΕΣΙΩΝ</w:t>
            </w:r>
          </w:p>
        </w:tc>
        <w:tc>
          <w:tcPr>
            <w:tcW w:w="3828" w:type="dxa"/>
            <w:shd w:val="clear" w:color="auto" w:fill="auto"/>
          </w:tcPr>
          <w:p w14:paraId="794B768B" w14:textId="2181E44D" w:rsidR="00541AC0" w:rsidRPr="00335984" w:rsidRDefault="003015D7" w:rsidP="003B16BF">
            <w:pPr>
              <w:snapToGrid w:val="0"/>
              <w:spacing w:after="0" w:line="240" w:lineRule="auto"/>
              <w:ind w:right="-625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335984">
              <w:rPr>
                <w:rFonts w:ascii="Verdana" w:hAnsi="Verdana" w:cs="Calibri"/>
                <w:b/>
                <w:sz w:val="20"/>
                <w:szCs w:val="20"/>
              </w:rPr>
              <w:t xml:space="preserve"> </w:t>
            </w:r>
          </w:p>
        </w:tc>
      </w:tr>
      <w:tr w:rsidR="00541AC0" w:rsidRPr="00335984" w14:paraId="0E98C9F5" w14:textId="77777777" w:rsidTr="00541AC0">
        <w:trPr>
          <w:trHeight w:val="310"/>
        </w:trPr>
        <w:tc>
          <w:tcPr>
            <w:tcW w:w="4786" w:type="dxa"/>
            <w:shd w:val="clear" w:color="auto" w:fill="auto"/>
          </w:tcPr>
          <w:p w14:paraId="79E25C5A" w14:textId="2B83792C" w:rsidR="00541AC0" w:rsidRPr="00335984" w:rsidRDefault="00541AC0" w:rsidP="003B16BF">
            <w:pPr>
              <w:spacing w:after="0" w:line="240" w:lineRule="auto"/>
              <w:ind w:right="-625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335984">
              <w:rPr>
                <w:rFonts w:ascii="Verdana" w:hAnsi="Verdana" w:cs="Calibri"/>
                <w:sz w:val="20"/>
                <w:szCs w:val="20"/>
              </w:rPr>
              <w:t>Ταχ</w:t>
            </w:r>
            <w:proofErr w:type="spellEnd"/>
            <w:r w:rsidRPr="00335984">
              <w:rPr>
                <w:rFonts w:ascii="Verdana" w:hAnsi="Verdana" w:cs="Calibri"/>
                <w:sz w:val="20"/>
                <w:szCs w:val="20"/>
              </w:rPr>
              <w:t>. Δ/</w:t>
            </w:r>
            <w:proofErr w:type="spellStart"/>
            <w:r w:rsidRPr="00335984">
              <w:rPr>
                <w:rFonts w:ascii="Verdana" w:hAnsi="Verdana" w:cs="Calibri"/>
                <w:sz w:val="20"/>
                <w:szCs w:val="20"/>
              </w:rPr>
              <w:t>νση</w:t>
            </w:r>
            <w:proofErr w:type="spellEnd"/>
            <w:r w:rsidRPr="00335984">
              <w:rPr>
                <w:rFonts w:ascii="Verdana" w:hAnsi="Verdana" w:cs="Calibri"/>
                <w:sz w:val="20"/>
                <w:szCs w:val="20"/>
              </w:rPr>
              <w:t xml:space="preserve">: </w:t>
            </w:r>
            <w:proofErr w:type="spellStart"/>
            <w:r w:rsidRPr="00335984">
              <w:rPr>
                <w:rFonts w:ascii="Verdana" w:hAnsi="Verdana" w:cs="Calibri"/>
                <w:sz w:val="20"/>
                <w:szCs w:val="20"/>
              </w:rPr>
              <w:t>Κλεομένους</w:t>
            </w:r>
            <w:proofErr w:type="spellEnd"/>
            <w:r w:rsidRPr="00335984">
              <w:rPr>
                <w:rFonts w:ascii="Verdana" w:hAnsi="Verdana" w:cs="Calibri"/>
                <w:sz w:val="20"/>
                <w:szCs w:val="20"/>
              </w:rPr>
              <w:t xml:space="preserve"> Οικονόμου 11</w:t>
            </w:r>
          </w:p>
          <w:p w14:paraId="7BFDE885" w14:textId="77777777" w:rsidR="00541AC0" w:rsidRPr="00335984" w:rsidRDefault="00541AC0" w:rsidP="003B16BF">
            <w:pPr>
              <w:spacing w:after="0" w:line="240" w:lineRule="auto"/>
              <w:ind w:right="-625"/>
              <w:rPr>
                <w:rFonts w:ascii="Verdana" w:hAnsi="Verdana" w:cs="Calibri"/>
                <w:sz w:val="20"/>
                <w:szCs w:val="20"/>
              </w:rPr>
            </w:pPr>
            <w:r w:rsidRPr="00335984">
              <w:rPr>
                <w:rFonts w:ascii="Verdana" w:hAnsi="Verdana" w:cs="Calibri"/>
                <w:sz w:val="20"/>
                <w:szCs w:val="20"/>
              </w:rPr>
              <w:t>Τ.Κ. 25 100 Αίγιο</w:t>
            </w:r>
          </w:p>
          <w:p w14:paraId="56CE3206" w14:textId="77777777" w:rsidR="00541AC0" w:rsidRPr="00335984" w:rsidRDefault="00541AC0" w:rsidP="003B16BF">
            <w:pPr>
              <w:spacing w:after="0" w:line="240" w:lineRule="auto"/>
              <w:ind w:right="-625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335984">
              <w:rPr>
                <w:rFonts w:ascii="Verdana" w:hAnsi="Verdana" w:cs="Calibri"/>
                <w:sz w:val="20"/>
                <w:szCs w:val="20"/>
              </w:rPr>
              <w:t>Τηλ</w:t>
            </w:r>
            <w:proofErr w:type="spellEnd"/>
            <w:r w:rsidRPr="00335984">
              <w:rPr>
                <w:rFonts w:ascii="Verdana" w:hAnsi="Verdana" w:cs="Calibri"/>
                <w:sz w:val="20"/>
                <w:szCs w:val="20"/>
              </w:rPr>
              <w:t>.: 26910 29279</w:t>
            </w:r>
          </w:p>
          <w:p w14:paraId="3F61E5D3" w14:textId="77777777" w:rsidR="00541AC0" w:rsidRPr="00335984" w:rsidRDefault="00541AC0" w:rsidP="003B16BF">
            <w:pPr>
              <w:spacing w:after="0" w:line="240" w:lineRule="auto"/>
              <w:ind w:right="-625"/>
              <w:rPr>
                <w:rFonts w:ascii="Verdana" w:hAnsi="Verdana" w:cs="Calibri"/>
                <w:sz w:val="20"/>
                <w:szCs w:val="20"/>
              </w:rPr>
            </w:pPr>
            <w:r w:rsidRPr="00335984">
              <w:rPr>
                <w:rFonts w:ascii="Verdana" w:hAnsi="Verdana" w:cs="Calibri"/>
                <w:sz w:val="20"/>
                <w:szCs w:val="20"/>
                <w:lang w:val="en-US"/>
              </w:rPr>
              <w:t>Fax</w:t>
            </w:r>
            <w:r w:rsidRPr="00335984">
              <w:rPr>
                <w:rFonts w:ascii="Verdana" w:hAnsi="Verdana" w:cs="Calibri"/>
                <w:sz w:val="20"/>
                <w:szCs w:val="20"/>
              </w:rPr>
              <w:t>.: 26910 29747</w:t>
            </w:r>
          </w:p>
          <w:p w14:paraId="29BA9ABB" w14:textId="77777777" w:rsidR="00541AC0" w:rsidRPr="00335984" w:rsidRDefault="00541AC0" w:rsidP="003B16BF">
            <w:pPr>
              <w:spacing w:after="0" w:line="240" w:lineRule="auto"/>
              <w:ind w:right="-625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335984"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335984">
              <w:rPr>
                <w:rFonts w:ascii="Verdana" w:hAnsi="Verdana"/>
                <w:bCs/>
                <w:sz w:val="20"/>
                <w:szCs w:val="20"/>
                <w:lang w:val="en-US"/>
              </w:rPr>
              <w:t>msalamoura</w:t>
            </w:r>
            <w:proofErr w:type="spellEnd"/>
            <w:r w:rsidRPr="00335984">
              <w:rPr>
                <w:rFonts w:ascii="Verdana" w:hAnsi="Verdana"/>
                <w:bCs/>
                <w:sz w:val="20"/>
                <w:szCs w:val="20"/>
                <w:lang w:val="en-US"/>
              </w:rPr>
              <w:t>@</w:t>
            </w:r>
            <w:proofErr w:type="spellStart"/>
            <w:r w:rsidRPr="00335984">
              <w:rPr>
                <w:rFonts w:ascii="Verdana" w:hAnsi="Verdana"/>
                <w:bCs/>
                <w:sz w:val="20"/>
                <w:szCs w:val="20"/>
                <w:lang w:val="en-GB"/>
              </w:rPr>
              <w:t>aigialeia</w:t>
            </w:r>
            <w:proofErr w:type="spellEnd"/>
            <w:r w:rsidRPr="00335984">
              <w:rPr>
                <w:rFonts w:ascii="Verdana" w:hAnsi="Verdana"/>
                <w:bCs/>
                <w:sz w:val="20"/>
                <w:szCs w:val="20"/>
                <w:lang w:val="en-US"/>
              </w:rPr>
              <w:t>.</w:t>
            </w:r>
            <w:proofErr w:type="spellStart"/>
            <w:r w:rsidRPr="00335984">
              <w:rPr>
                <w:rFonts w:ascii="Verdana" w:hAnsi="Verdana"/>
                <w:bCs/>
                <w:sz w:val="20"/>
                <w:szCs w:val="20"/>
                <w:lang w:val="en-GB"/>
              </w:rPr>
              <w:t>gov</w:t>
            </w:r>
            <w:proofErr w:type="spellEnd"/>
            <w:r w:rsidRPr="00335984">
              <w:rPr>
                <w:rFonts w:ascii="Verdana" w:hAnsi="Verdana"/>
                <w:bCs/>
                <w:sz w:val="20"/>
                <w:szCs w:val="20"/>
                <w:lang w:val="en-US"/>
              </w:rPr>
              <w:t>.</w:t>
            </w:r>
            <w:r w:rsidRPr="00335984">
              <w:rPr>
                <w:rFonts w:ascii="Verdana" w:hAnsi="Verdana"/>
                <w:bCs/>
                <w:sz w:val="20"/>
                <w:szCs w:val="20"/>
                <w:lang w:val="en-GB"/>
              </w:rPr>
              <w:t>gr</w:t>
            </w:r>
          </w:p>
          <w:p w14:paraId="76CED1EB" w14:textId="77777777" w:rsidR="00541AC0" w:rsidRPr="00335984" w:rsidRDefault="00541AC0" w:rsidP="003B16BF">
            <w:pPr>
              <w:spacing w:after="0" w:line="240" w:lineRule="auto"/>
              <w:ind w:right="-625"/>
              <w:rPr>
                <w:rFonts w:ascii="Verdana" w:hAnsi="Verdana" w:cs="Calibri"/>
                <w:b/>
                <w:sz w:val="20"/>
                <w:szCs w:val="20"/>
              </w:rPr>
            </w:pPr>
            <w:r w:rsidRPr="00335984">
              <w:rPr>
                <w:rFonts w:ascii="Verdana" w:hAnsi="Verdana"/>
                <w:bCs/>
                <w:sz w:val="20"/>
                <w:szCs w:val="20"/>
              </w:rPr>
              <w:t>Πληροφ.: Μ. Σαλαμούρα</w:t>
            </w:r>
          </w:p>
        </w:tc>
        <w:tc>
          <w:tcPr>
            <w:tcW w:w="3828" w:type="dxa"/>
            <w:shd w:val="clear" w:color="auto" w:fill="auto"/>
          </w:tcPr>
          <w:p w14:paraId="70E4A4F2" w14:textId="6071CA99" w:rsidR="00541AC0" w:rsidRPr="00335984" w:rsidRDefault="003015D7" w:rsidP="003B16BF">
            <w:pPr>
              <w:snapToGrid w:val="0"/>
              <w:spacing w:after="0" w:line="240" w:lineRule="auto"/>
              <w:ind w:right="-625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335984">
              <w:rPr>
                <w:rFonts w:ascii="Verdana" w:hAnsi="Verdana" w:cs="Calibri"/>
                <w:b/>
                <w:sz w:val="20"/>
                <w:szCs w:val="20"/>
              </w:rPr>
              <w:t xml:space="preserve"> </w:t>
            </w:r>
          </w:p>
        </w:tc>
      </w:tr>
    </w:tbl>
    <w:p w14:paraId="372EB9C0" w14:textId="6E330507" w:rsidR="004660BE" w:rsidRPr="00335984" w:rsidRDefault="003015D7" w:rsidP="003B16BF">
      <w:pPr>
        <w:pStyle w:val="Style371"/>
        <w:spacing w:line="240" w:lineRule="auto"/>
        <w:jc w:val="both"/>
        <w:rPr>
          <w:rFonts w:ascii="Verdana" w:eastAsia="Calibri" w:hAnsi="Verdana" w:cs="Times New Roman"/>
          <w:bCs/>
          <w:lang w:eastAsia="en-US"/>
        </w:rPr>
      </w:pPr>
      <w:r w:rsidRPr="00335984">
        <w:rPr>
          <w:rFonts w:ascii="Verdana" w:eastAsia="Calibri" w:hAnsi="Verdana" w:cs="Times New Roman"/>
          <w:bCs/>
          <w:lang w:eastAsia="en-US"/>
        </w:rPr>
        <w:t xml:space="preserve">      Σύμφωνα με το με αρ.πρωτ.ΦΒ7/39467/Κ3/06-04-2022 έγγραφο του Υπουργείου Παιδείας &amp; Θρησκευμάτων με θέμα : </w:t>
      </w:r>
      <w:r w:rsidRPr="00335984">
        <w:rPr>
          <w:rFonts w:ascii="Verdana" w:eastAsia="Calibri" w:hAnsi="Verdana" w:cs="Times New Roman"/>
          <w:bCs/>
          <w:i/>
          <w:iCs/>
          <w:lang w:eastAsia="en-US"/>
        </w:rPr>
        <w:t xml:space="preserve">«Πρόσκληση για διάθεση θέσεων Μαθητείας στο </w:t>
      </w:r>
      <w:proofErr w:type="spellStart"/>
      <w:r w:rsidRPr="00335984">
        <w:rPr>
          <w:rFonts w:ascii="Verdana" w:eastAsia="Calibri" w:hAnsi="Verdana" w:cs="Times New Roman"/>
          <w:bCs/>
          <w:i/>
          <w:iCs/>
          <w:lang w:eastAsia="en-US"/>
        </w:rPr>
        <w:t>Μεταλυκειακό</w:t>
      </w:r>
      <w:proofErr w:type="spellEnd"/>
      <w:r w:rsidRPr="00335984">
        <w:rPr>
          <w:rFonts w:ascii="Verdana" w:eastAsia="Calibri" w:hAnsi="Verdana" w:cs="Times New Roman"/>
          <w:bCs/>
          <w:i/>
          <w:iCs/>
          <w:lang w:eastAsia="en-US"/>
        </w:rPr>
        <w:t xml:space="preserve"> έτος -Τάξη Μαθητείας αποφοίτων ΕΠΑ.Λ.</w:t>
      </w:r>
      <w:r w:rsidRPr="00335984">
        <w:rPr>
          <w:rFonts w:ascii="Verdana" w:eastAsia="Calibri" w:hAnsi="Verdana" w:cs="Times New Roman"/>
          <w:bCs/>
          <w:lang w:eastAsia="en-US"/>
        </w:rPr>
        <w:t xml:space="preserve">», κατά την περίοδο 2022-2023, το Υπουργείο Παιδείας και Θρησκευμάτων, θα </w:t>
      </w:r>
      <w:r w:rsidR="009516BB">
        <w:rPr>
          <w:rFonts w:ascii="Verdana" w:eastAsia="Calibri" w:hAnsi="Verdana" w:cs="Times New Roman"/>
          <w:bCs/>
          <w:lang w:eastAsia="en-US"/>
        </w:rPr>
        <w:t>εφαρμόσει</w:t>
      </w:r>
      <w:r w:rsidR="003B16BF" w:rsidRPr="003B16BF">
        <w:rPr>
          <w:rFonts w:ascii="Verdana" w:eastAsia="Calibri" w:hAnsi="Verdana" w:cs="Times New Roman"/>
          <w:bCs/>
          <w:lang w:eastAsia="en-US"/>
        </w:rPr>
        <w:t xml:space="preserve"> </w:t>
      </w:r>
      <w:r w:rsidRPr="00335984">
        <w:rPr>
          <w:rFonts w:ascii="Verdana" w:eastAsia="Calibri" w:hAnsi="Verdana" w:cs="Times New Roman"/>
          <w:bCs/>
          <w:lang w:eastAsia="en-US"/>
        </w:rPr>
        <w:t xml:space="preserve">Πρόγραμμα Μαθητείας για τους μαθητευόμενους του </w:t>
      </w:r>
      <w:proofErr w:type="spellStart"/>
      <w:r w:rsidRPr="00335984">
        <w:rPr>
          <w:rFonts w:ascii="Verdana" w:eastAsia="Calibri" w:hAnsi="Verdana" w:cs="Times New Roman"/>
          <w:bCs/>
          <w:lang w:eastAsia="en-US"/>
        </w:rPr>
        <w:t>Μεταλυκειακού</w:t>
      </w:r>
      <w:proofErr w:type="spellEnd"/>
      <w:r w:rsidRPr="00335984">
        <w:rPr>
          <w:rFonts w:ascii="Verdana" w:eastAsia="Calibri" w:hAnsi="Verdana" w:cs="Times New Roman"/>
          <w:bCs/>
          <w:lang w:eastAsia="en-US"/>
        </w:rPr>
        <w:t xml:space="preserve"> Έτους – Τάξη Μαθητείας</w:t>
      </w:r>
      <w:r w:rsidR="004660BE" w:rsidRPr="00335984">
        <w:rPr>
          <w:rFonts w:ascii="Verdana" w:eastAsia="Calibri" w:hAnsi="Verdana" w:cs="Times New Roman"/>
          <w:bCs/>
          <w:lang w:eastAsia="en-US"/>
        </w:rPr>
        <w:t xml:space="preserve"> </w:t>
      </w:r>
      <w:r w:rsidRPr="00335984">
        <w:rPr>
          <w:rFonts w:ascii="Verdana" w:eastAsia="Calibri" w:hAnsi="Verdana" w:cs="Times New Roman"/>
          <w:bCs/>
          <w:lang w:eastAsia="en-US"/>
        </w:rPr>
        <w:t>αποφοίτων Επαγγελματικών Λυκείων (ΕΠΑ.Λ.)</w:t>
      </w:r>
      <w:r w:rsidR="004660BE" w:rsidRPr="00335984">
        <w:rPr>
          <w:rFonts w:ascii="Verdana" w:eastAsia="Calibri" w:hAnsi="Verdana" w:cs="Times New Roman"/>
          <w:bCs/>
          <w:lang w:eastAsia="en-US"/>
        </w:rPr>
        <w:t>.</w:t>
      </w:r>
    </w:p>
    <w:p w14:paraId="4F87B62B" w14:textId="78A54D10" w:rsidR="004660BE" w:rsidRPr="00335984" w:rsidRDefault="003015D7" w:rsidP="003B16B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0"/>
          <w:szCs w:val="20"/>
          <w:lang w:eastAsia="el-GR"/>
        </w:rPr>
      </w:pPr>
      <w:r w:rsidRPr="00335984">
        <w:rPr>
          <w:rFonts w:ascii="Verdana" w:hAnsi="Verdana"/>
          <w:sz w:val="20"/>
          <w:szCs w:val="20"/>
        </w:rPr>
        <w:t xml:space="preserve"> </w:t>
      </w:r>
      <w:r w:rsidR="00624347" w:rsidRPr="00335984">
        <w:rPr>
          <w:rFonts w:ascii="Verdana" w:hAnsi="Verdana"/>
          <w:sz w:val="20"/>
          <w:szCs w:val="20"/>
        </w:rPr>
        <w:t xml:space="preserve">     </w:t>
      </w:r>
      <w:r w:rsidR="004660BE" w:rsidRPr="00335984">
        <w:rPr>
          <w:rFonts w:ascii="Verdana" w:hAnsi="Verdana" w:cs="Calibri"/>
          <w:sz w:val="20"/>
          <w:szCs w:val="20"/>
          <w:lang w:eastAsia="el-GR"/>
        </w:rPr>
        <w:t xml:space="preserve">Το </w:t>
      </w:r>
      <w:proofErr w:type="spellStart"/>
      <w:r w:rsidR="004660BE" w:rsidRPr="00335984">
        <w:rPr>
          <w:rFonts w:ascii="Verdana" w:hAnsi="Verdana" w:cs="Calibri"/>
          <w:sz w:val="20"/>
          <w:szCs w:val="20"/>
          <w:lang w:eastAsia="el-GR"/>
        </w:rPr>
        <w:t>Μεταλυκειακό</w:t>
      </w:r>
      <w:proofErr w:type="spellEnd"/>
      <w:r w:rsidR="004660BE" w:rsidRPr="00335984">
        <w:rPr>
          <w:rFonts w:ascii="Verdana" w:hAnsi="Verdana" w:cs="Calibri"/>
          <w:sz w:val="20"/>
          <w:szCs w:val="20"/>
          <w:lang w:eastAsia="el-GR"/>
        </w:rPr>
        <w:t xml:space="preserve"> Έτος – Τάξη Μαθητείας απευθύνεται σε αποφοίτους ΕΠΑ.Λ.,</w:t>
      </w:r>
      <w:r w:rsidR="00CC3F96" w:rsidRPr="00335984">
        <w:rPr>
          <w:rFonts w:ascii="Verdana" w:hAnsi="Verdana" w:cs="Calibri"/>
          <w:sz w:val="20"/>
          <w:szCs w:val="20"/>
          <w:lang w:eastAsia="el-GR"/>
        </w:rPr>
        <w:t xml:space="preserve"> </w:t>
      </w:r>
      <w:r w:rsidR="004660BE" w:rsidRPr="00335984">
        <w:rPr>
          <w:rFonts w:ascii="Verdana" w:hAnsi="Verdana" w:cs="Calibri"/>
          <w:sz w:val="20"/>
          <w:szCs w:val="20"/>
          <w:lang w:eastAsia="el-GR"/>
        </w:rPr>
        <w:t>περιλαμβάνει εργαστηριακά</w:t>
      </w:r>
      <w:r w:rsidR="00CC3F96" w:rsidRPr="00335984">
        <w:rPr>
          <w:rFonts w:ascii="Verdana" w:hAnsi="Verdana" w:cs="Calibri"/>
          <w:sz w:val="20"/>
          <w:szCs w:val="20"/>
          <w:lang w:eastAsia="el-GR"/>
        </w:rPr>
        <w:t xml:space="preserve"> </w:t>
      </w:r>
      <w:r w:rsidR="004660BE" w:rsidRPr="00335984">
        <w:rPr>
          <w:rFonts w:ascii="Verdana" w:hAnsi="Verdana" w:cs="Calibri"/>
          <w:sz w:val="20"/>
          <w:szCs w:val="20"/>
          <w:lang w:eastAsia="el-GR"/>
        </w:rPr>
        <w:t>μαθήματα ειδικότητας, που πραγματοποιούνται στο σχολείο και παράλληλα «Πρόγραμμα μάθησης σε</w:t>
      </w:r>
      <w:r w:rsidR="00CC3F96" w:rsidRPr="00335984">
        <w:rPr>
          <w:rFonts w:ascii="Verdana" w:hAnsi="Verdana" w:cs="Calibri"/>
          <w:sz w:val="20"/>
          <w:szCs w:val="20"/>
          <w:lang w:eastAsia="el-GR"/>
        </w:rPr>
        <w:t xml:space="preserve"> </w:t>
      </w:r>
      <w:r w:rsidR="004660BE" w:rsidRPr="00335984">
        <w:rPr>
          <w:rFonts w:ascii="Verdana" w:hAnsi="Verdana" w:cs="Calibri"/>
          <w:sz w:val="20"/>
          <w:szCs w:val="20"/>
          <w:lang w:eastAsia="el-GR"/>
        </w:rPr>
        <w:t>εργασιακό χώρο» το οποίο αναλαμβάνει να</w:t>
      </w:r>
      <w:r w:rsidR="00CC3F96" w:rsidRPr="00335984">
        <w:rPr>
          <w:rFonts w:ascii="Verdana" w:hAnsi="Verdana" w:cs="Calibri"/>
          <w:sz w:val="20"/>
          <w:szCs w:val="20"/>
          <w:lang w:eastAsia="el-GR"/>
        </w:rPr>
        <w:t xml:space="preserve"> </w:t>
      </w:r>
      <w:r w:rsidR="004660BE" w:rsidRPr="00335984">
        <w:rPr>
          <w:rFonts w:ascii="Verdana" w:hAnsi="Verdana" w:cs="Calibri"/>
          <w:sz w:val="20"/>
          <w:szCs w:val="20"/>
          <w:lang w:eastAsia="el-GR"/>
        </w:rPr>
        <w:t>παράσχει ο εργοδότης στον μαθητευόμενο. Η μαθητεία</w:t>
      </w:r>
      <w:r w:rsidR="00CC3F96" w:rsidRPr="00335984">
        <w:rPr>
          <w:rFonts w:ascii="Verdana" w:hAnsi="Verdana" w:cs="Calibri"/>
          <w:sz w:val="20"/>
          <w:szCs w:val="20"/>
          <w:lang w:eastAsia="el-GR"/>
        </w:rPr>
        <w:t xml:space="preserve"> </w:t>
      </w:r>
      <w:r w:rsidR="004660BE" w:rsidRPr="00335984">
        <w:rPr>
          <w:rFonts w:ascii="Verdana" w:hAnsi="Verdana" w:cs="Calibri"/>
          <w:sz w:val="20"/>
          <w:szCs w:val="20"/>
          <w:lang w:eastAsia="el-GR"/>
        </w:rPr>
        <w:t>ολοκληρώνεται με τη</w:t>
      </w:r>
      <w:r w:rsidR="00835A1D" w:rsidRPr="00335984">
        <w:rPr>
          <w:rFonts w:ascii="Verdana" w:hAnsi="Verdana" w:cs="Calibri"/>
          <w:sz w:val="20"/>
          <w:szCs w:val="20"/>
          <w:lang w:eastAsia="el-GR"/>
        </w:rPr>
        <w:t xml:space="preserve"> </w:t>
      </w:r>
      <w:r w:rsidR="004660BE" w:rsidRPr="00335984">
        <w:rPr>
          <w:rFonts w:ascii="Verdana" w:hAnsi="Verdana" w:cs="Calibri"/>
          <w:sz w:val="20"/>
          <w:szCs w:val="20"/>
          <w:lang w:eastAsia="el-GR"/>
        </w:rPr>
        <w:t>συμπλήρωση του εργαστηριακού μαθήματος και των ημερών παρουσίας στον</w:t>
      </w:r>
      <w:r w:rsidR="00835A1D" w:rsidRPr="00335984">
        <w:rPr>
          <w:rFonts w:ascii="Verdana" w:hAnsi="Verdana" w:cs="Calibri"/>
          <w:sz w:val="20"/>
          <w:szCs w:val="20"/>
          <w:lang w:eastAsia="el-GR"/>
        </w:rPr>
        <w:t xml:space="preserve"> </w:t>
      </w:r>
      <w:r w:rsidR="004660BE" w:rsidRPr="00335984">
        <w:rPr>
          <w:rFonts w:ascii="Verdana" w:hAnsi="Verdana" w:cs="Calibri"/>
          <w:sz w:val="20"/>
          <w:szCs w:val="20"/>
          <w:lang w:eastAsia="el-GR"/>
        </w:rPr>
        <w:t>εργασιακό</w:t>
      </w:r>
      <w:r w:rsidR="00835A1D" w:rsidRPr="00335984">
        <w:rPr>
          <w:rFonts w:ascii="Verdana" w:hAnsi="Verdana" w:cs="Calibri"/>
          <w:sz w:val="20"/>
          <w:szCs w:val="20"/>
          <w:lang w:eastAsia="el-GR"/>
        </w:rPr>
        <w:t xml:space="preserve"> </w:t>
      </w:r>
      <w:r w:rsidR="004660BE" w:rsidRPr="00335984">
        <w:rPr>
          <w:rFonts w:ascii="Verdana" w:hAnsi="Verdana" w:cs="Calibri"/>
          <w:sz w:val="20"/>
          <w:szCs w:val="20"/>
          <w:lang w:eastAsia="el-GR"/>
        </w:rPr>
        <w:t>χώρο, όπως αυτά περιγράφονται στον Οδηγό Κατάρτισης της ειδικότητας,</w:t>
      </w:r>
      <w:r w:rsidR="00835A1D" w:rsidRPr="00335984">
        <w:rPr>
          <w:rFonts w:ascii="Verdana" w:hAnsi="Verdana" w:cs="Calibri"/>
          <w:sz w:val="20"/>
          <w:szCs w:val="20"/>
          <w:lang w:eastAsia="el-GR"/>
        </w:rPr>
        <w:t xml:space="preserve"> </w:t>
      </w:r>
      <w:r w:rsidR="004660BE" w:rsidRPr="00335984">
        <w:rPr>
          <w:rFonts w:ascii="Verdana" w:hAnsi="Verdana" w:cs="Calibri"/>
          <w:sz w:val="20"/>
          <w:szCs w:val="20"/>
          <w:lang w:eastAsia="el-GR"/>
        </w:rPr>
        <w:t>συμπεριλαμβανομένων των 12 ημερών κανονικής άδειας που δικαιούται ο</w:t>
      </w:r>
      <w:r w:rsidR="00835A1D" w:rsidRPr="00335984">
        <w:rPr>
          <w:rFonts w:ascii="Verdana" w:hAnsi="Verdana" w:cs="Calibri"/>
          <w:sz w:val="20"/>
          <w:szCs w:val="20"/>
          <w:lang w:eastAsia="el-GR"/>
        </w:rPr>
        <w:t xml:space="preserve"> </w:t>
      </w:r>
      <w:r w:rsidR="004660BE" w:rsidRPr="00335984">
        <w:rPr>
          <w:rFonts w:ascii="Verdana" w:hAnsi="Verdana" w:cs="Calibri"/>
          <w:sz w:val="20"/>
          <w:szCs w:val="20"/>
          <w:lang w:eastAsia="el-GR"/>
        </w:rPr>
        <w:t>μαθητευόμενος.</w:t>
      </w:r>
    </w:p>
    <w:p w14:paraId="64E3AAA4" w14:textId="4DDBC7D4" w:rsidR="004660BE" w:rsidRPr="00335984" w:rsidRDefault="00624347" w:rsidP="003B16B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0"/>
          <w:szCs w:val="20"/>
          <w:lang w:eastAsia="el-GR"/>
        </w:rPr>
      </w:pPr>
      <w:r w:rsidRPr="00335984">
        <w:rPr>
          <w:rFonts w:ascii="Verdana" w:hAnsi="Verdana" w:cs="Calibri"/>
          <w:sz w:val="20"/>
          <w:szCs w:val="20"/>
          <w:lang w:eastAsia="el-GR"/>
        </w:rPr>
        <w:t xml:space="preserve">     </w:t>
      </w:r>
      <w:r w:rsidR="004660BE" w:rsidRPr="00335984">
        <w:rPr>
          <w:rFonts w:ascii="Verdana" w:hAnsi="Verdana" w:cs="Calibri"/>
          <w:sz w:val="20"/>
          <w:szCs w:val="20"/>
          <w:lang w:eastAsia="el-GR"/>
        </w:rPr>
        <w:t>Οι μαθητευόμενοι λαμβάνουν ημερήσια αποζημίωση, που ορίζεται στο 95% επί του νόμιμου</w:t>
      </w:r>
      <w:r w:rsidR="00835A1D" w:rsidRPr="00335984">
        <w:rPr>
          <w:rFonts w:ascii="Verdana" w:hAnsi="Verdana" w:cs="Calibri"/>
          <w:sz w:val="20"/>
          <w:szCs w:val="20"/>
          <w:lang w:eastAsia="el-GR"/>
        </w:rPr>
        <w:t xml:space="preserve"> </w:t>
      </w:r>
      <w:r w:rsidR="004660BE" w:rsidRPr="00335984">
        <w:rPr>
          <w:rFonts w:ascii="Verdana" w:hAnsi="Verdana" w:cs="Calibri"/>
          <w:sz w:val="20"/>
          <w:szCs w:val="20"/>
          <w:lang w:eastAsia="el-GR"/>
        </w:rPr>
        <w:t>νομοθετημένου κατώτατου ορίου του ημερομίσθιου ανειδίκευτου εργάτη σε όλη τη διάρκεια του</w:t>
      </w:r>
      <w:r w:rsidR="00835A1D" w:rsidRPr="00335984">
        <w:rPr>
          <w:rFonts w:ascii="Verdana" w:hAnsi="Verdana" w:cs="Calibri"/>
          <w:sz w:val="20"/>
          <w:szCs w:val="20"/>
          <w:lang w:eastAsia="el-GR"/>
        </w:rPr>
        <w:t xml:space="preserve"> </w:t>
      </w:r>
      <w:r w:rsidR="004660BE" w:rsidRPr="00335984">
        <w:rPr>
          <w:rFonts w:ascii="Verdana" w:hAnsi="Verdana" w:cs="Calibri"/>
          <w:sz w:val="20"/>
          <w:szCs w:val="20"/>
          <w:lang w:eastAsia="el-GR"/>
        </w:rPr>
        <w:t>«Προγράμματος μάθησης σε εργασιακό χώρο». Η χρηματική επιβάρυνση του εργοδότη μετά την αφαίρεση</w:t>
      </w:r>
      <w:r w:rsidR="00835A1D" w:rsidRPr="00335984">
        <w:rPr>
          <w:rFonts w:ascii="Verdana" w:hAnsi="Verdana" w:cs="Calibri"/>
          <w:sz w:val="20"/>
          <w:szCs w:val="20"/>
          <w:lang w:eastAsia="el-GR"/>
        </w:rPr>
        <w:t xml:space="preserve"> </w:t>
      </w:r>
      <w:r w:rsidR="004660BE" w:rsidRPr="00335984">
        <w:rPr>
          <w:rFonts w:ascii="Verdana" w:hAnsi="Verdana" w:cs="Calibri"/>
          <w:sz w:val="20"/>
          <w:szCs w:val="20"/>
          <w:lang w:eastAsia="el-GR"/>
        </w:rPr>
        <w:t>της επιδότησης αναφέρεται σε Κοινή Υπουργική Απόφαση περί Επιδότησης Μαθητευόμενων</w:t>
      </w:r>
      <w:r w:rsidR="00835A1D" w:rsidRPr="00335984">
        <w:rPr>
          <w:rFonts w:ascii="Verdana" w:hAnsi="Verdana" w:cs="Calibri"/>
          <w:sz w:val="20"/>
          <w:szCs w:val="20"/>
          <w:lang w:eastAsia="el-GR"/>
        </w:rPr>
        <w:t xml:space="preserve"> </w:t>
      </w:r>
      <w:proofErr w:type="spellStart"/>
      <w:r w:rsidR="004660BE" w:rsidRPr="00335984">
        <w:rPr>
          <w:rFonts w:ascii="Verdana" w:hAnsi="Verdana" w:cs="Calibri"/>
          <w:sz w:val="20"/>
          <w:szCs w:val="20"/>
          <w:lang w:eastAsia="el-GR"/>
        </w:rPr>
        <w:t>Μεταλυκειακού</w:t>
      </w:r>
      <w:proofErr w:type="spellEnd"/>
      <w:r w:rsidR="004660BE" w:rsidRPr="00335984">
        <w:rPr>
          <w:rFonts w:ascii="Verdana" w:hAnsi="Verdana" w:cs="Calibri"/>
          <w:sz w:val="20"/>
          <w:szCs w:val="20"/>
          <w:lang w:eastAsia="el-GR"/>
        </w:rPr>
        <w:t xml:space="preserve"> Έτους – Τάξη Μαθητείας και περιλαμβάνει μόνο το σύνολο των ασφαλιστικών εισφορών.</w:t>
      </w:r>
      <w:r w:rsidR="00835A1D" w:rsidRPr="00335984">
        <w:rPr>
          <w:rFonts w:ascii="Verdana" w:hAnsi="Verdana" w:cs="Calibri"/>
          <w:sz w:val="20"/>
          <w:szCs w:val="20"/>
          <w:lang w:eastAsia="el-GR"/>
        </w:rPr>
        <w:t xml:space="preserve"> </w:t>
      </w:r>
      <w:r w:rsidR="004660BE" w:rsidRPr="00335984">
        <w:rPr>
          <w:rFonts w:ascii="Verdana" w:hAnsi="Verdana" w:cs="Calibri"/>
          <w:sz w:val="20"/>
          <w:szCs w:val="20"/>
          <w:lang w:eastAsia="el-GR"/>
        </w:rPr>
        <w:t>Η επιδότηση δεν καταβάλλεται για τις ημέρες της κανονικής άδειας, ασθένειας ή απουσίας όπως αυτές</w:t>
      </w:r>
      <w:r w:rsidR="00835A1D" w:rsidRPr="00335984">
        <w:rPr>
          <w:rFonts w:ascii="Verdana" w:hAnsi="Verdana" w:cs="Calibri"/>
          <w:sz w:val="20"/>
          <w:szCs w:val="20"/>
          <w:lang w:eastAsia="el-GR"/>
        </w:rPr>
        <w:t xml:space="preserve"> </w:t>
      </w:r>
      <w:r w:rsidR="004660BE" w:rsidRPr="00335984">
        <w:rPr>
          <w:rFonts w:ascii="Verdana" w:hAnsi="Verdana" w:cs="Calibri"/>
          <w:sz w:val="20"/>
          <w:szCs w:val="20"/>
          <w:lang w:eastAsia="el-GR"/>
        </w:rPr>
        <w:t xml:space="preserve">ορίζονται από τον Κανονισμό Λειτουργίας του </w:t>
      </w:r>
      <w:proofErr w:type="spellStart"/>
      <w:r w:rsidR="004660BE" w:rsidRPr="00335984">
        <w:rPr>
          <w:rFonts w:ascii="Verdana" w:hAnsi="Verdana" w:cs="Calibri"/>
          <w:sz w:val="20"/>
          <w:szCs w:val="20"/>
          <w:lang w:eastAsia="el-GR"/>
        </w:rPr>
        <w:t>Μεταλυκειακού</w:t>
      </w:r>
      <w:proofErr w:type="spellEnd"/>
      <w:r w:rsidR="004660BE" w:rsidRPr="00335984">
        <w:rPr>
          <w:rFonts w:ascii="Verdana" w:hAnsi="Verdana" w:cs="Calibri"/>
          <w:sz w:val="20"/>
          <w:szCs w:val="20"/>
          <w:lang w:eastAsia="el-GR"/>
        </w:rPr>
        <w:t xml:space="preserve"> Έτους – Τάξη μαθητείας. Στις περιπτώσεις</w:t>
      </w:r>
      <w:r w:rsidR="00835A1D" w:rsidRPr="00335984">
        <w:rPr>
          <w:rFonts w:ascii="Verdana" w:hAnsi="Verdana" w:cs="Calibri"/>
          <w:sz w:val="20"/>
          <w:szCs w:val="20"/>
          <w:lang w:eastAsia="el-GR"/>
        </w:rPr>
        <w:t xml:space="preserve"> </w:t>
      </w:r>
      <w:r w:rsidR="004660BE" w:rsidRPr="00335984">
        <w:rPr>
          <w:rFonts w:ascii="Verdana" w:hAnsi="Verdana" w:cs="Calibri"/>
          <w:sz w:val="20"/>
          <w:szCs w:val="20"/>
          <w:lang w:eastAsia="el-GR"/>
        </w:rPr>
        <w:t>κανονικής άδειας οι εργοδότες υποχρεούνται να καταβάλουν ολόκληρο το προβλεπόμενο ημερομίσθιο</w:t>
      </w:r>
      <w:r w:rsidR="00835A1D" w:rsidRPr="00335984">
        <w:rPr>
          <w:rFonts w:ascii="Verdana" w:hAnsi="Verdana" w:cs="Calibri"/>
          <w:sz w:val="20"/>
          <w:szCs w:val="20"/>
          <w:lang w:eastAsia="el-GR"/>
        </w:rPr>
        <w:t xml:space="preserve"> </w:t>
      </w:r>
      <w:r w:rsidR="004660BE" w:rsidRPr="00335984">
        <w:rPr>
          <w:rFonts w:ascii="Verdana" w:hAnsi="Verdana" w:cs="Calibri"/>
          <w:sz w:val="20"/>
          <w:szCs w:val="20"/>
          <w:lang w:eastAsia="el-GR"/>
        </w:rPr>
        <w:t>στους μαθητευόμενους. Στις περιπτώσεις απουσίας λόγω ασθένειας εφαρμόζονται οι διατάξεις των άρθρων</w:t>
      </w:r>
      <w:r w:rsidR="00835A1D" w:rsidRPr="00335984">
        <w:rPr>
          <w:rFonts w:ascii="Verdana" w:hAnsi="Verdana" w:cs="Calibri"/>
          <w:sz w:val="20"/>
          <w:szCs w:val="20"/>
          <w:lang w:eastAsia="el-GR"/>
        </w:rPr>
        <w:t xml:space="preserve"> </w:t>
      </w:r>
      <w:r w:rsidR="004660BE" w:rsidRPr="00335984">
        <w:rPr>
          <w:rFonts w:ascii="Verdana" w:hAnsi="Verdana" w:cs="Calibri"/>
          <w:sz w:val="20"/>
          <w:szCs w:val="20"/>
          <w:lang w:eastAsia="el-GR"/>
        </w:rPr>
        <w:t>657-658 του Α.Κ. Το Υ.ΠΑΙ.Θ. δεν επιβαρύνεται με την καταβολή δώρων και λοιπών επιδομάτων (όπου</w:t>
      </w:r>
      <w:r w:rsidR="00835A1D" w:rsidRPr="00335984">
        <w:rPr>
          <w:rFonts w:ascii="Verdana" w:hAnsi="Verdana" w:cs="Calibri"/>
          <w:sz w:val="20"/>
          <w:szCs w:val="20"/>
          <w:lang w:eastAsia="el-GR"/>
        </w:rPr>
        <w:t xml:space="preserve"> </w:t>
      </w:r>
      <w:r w:rsidR="004660BE" w:rsidRPr="00335984">
        <w:rPr>
          <w:rFonts w:ascii="Verdana" w:hAnsi="Verdana" w:cs="Calibri"/>
          <w:sz w:val="20"/>
          <w:szCs w:val="20"/>
          <w:lang w:eastAsia="el-GR"/>
        </w:rPr>
        <w:t>αυτά εξακολουθούν να ισχύουν).</w:t>
      </w:r>
    </w:p>
    <w:p w14:paraId="2071BF42" w14:textId="77777777" w:rsidR="007D0ADE" w:rsidRPr="00335984" w:rsidRDefault="00624347" w:rsidP="003B16B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0"/>
          <w:szCs w:val="20"/>
          <w:lang w:eastAsia="el-GR"/>
        </w:rPr>
      </w:pPr>
      <w:r w:rsidRPr="00335984">
        <w:rPr>
          <w:rFonts w:ascii="Verdana" w:hAnsi="Verdana" w:cs="Calibri"/>
          <w:sz w:val="20"/>
          <w:szCs w:val="20"/>
          <w:lang w:eastAsia="el-GR"/>
        </w:rPr>
        <w:lastRenderedPageBreak/>
        <w:t xml:space="preserve">      </w:t>
      </w:r>
      <w:r w:rsidR="004660BE" w:rsidRPr="00335984">
        <w:rPr>
          <w:rFonts w:ascii="Verdana" w:hAnsi="Verdana" w:cs="Calibri"/>
          <w:sz w:val="20"/>
          <w:szCs w:val="20"/>
          <w:lang w:eastAsia="el-GR"/>
        </w:rPr>
        <w:t xml:space="preserve">Επειδή θεωρούμε ότι ο </w:t>
      </w:r>
      <w:r w:rsidR="00835A1D" w:rsidRPr="00335984">
        <w:rPr>
          <w:rFonts w:ascii="Verdana" w:hAnsi="Verdana" w:cs="Calibri"/>
          <w:sz w:val="20"/>
          <w:szCs w:val="20"/>
          <w:lang w:eastAsia="el-GR"/>
        </w:rPr>
        <w:t>Δήμος Αιγιαλείας</w:t>
      </w:r>
      <w:r w:rsidR="004660BE" w:rsidRPr="00335984">
        <w:rPr>
          <w:rFonts w:ascii="Verdana" w:hAnsi="Verdana" w:cs="Calibri"/>
          <w:sz w:val="20"/>
          <w:szCs w:val="20"/>
          <w:lang w:eastAsia="el-GR"/>
        </w:rPr>
        <w:t xml:space="preserve"> πρέπει να συμβάλει στην επιτυχή υλοποίηση του θεσμού</w:t>
      </w:r>
      <w:r w:rsidR="00835A1D" w:rsidRPr="00335984">
        <w:rPr>
          <w:rFonts w:ascii="Verdana" w:hAnsi="Verdana" w:cs="Calibri"/>
          <w:sz w:val="20"/>
          <w:szCs w:val="20"/>
          <w:lang w:eastAsia="el-GR"/>
        </w:rPr>
        <w:t xml:space="preserve"> </w:t>
      </w:r>
      <w:r w:rsidR="004660BE" w:rsidRPr="00335984">
        <w:rPr>
          <w:rFonts w:ascii="Verdana" w:hAnsi="Verdana" w:cs="Calibri"/>
          <w:sz w:val="20"/>
          <w:szCs w:val="20"/>
          <w:lang w:eastAsia="el-GR"/>
        </w:rPr>
        <w:t>της μαθητείας προς όφελος τόσο των μαθητευόμενων όσο και της τοπικής</w:t>
      </w:r>
      <w:r w:rsidR="00835A1D" w:rsidRPr="00335984">
        <w:rPr>
          <w:rFonts w:ascii="Verdana" w:hAnsi="Verdana" w:cs="Calibri"/>
          <w:sz w:val="20"/>
          <w:szCs w:val="20"/>
          <w:lang w:eastAsia="el-GR"/>
        </w:rPr>
        <w:t xml:space="preserve"> </w:t>
      </w:r>
      <w:r w:rsidR="004660BE" w:rsidRPr="00335984">
        <w:rPr>
          <w:rFonts w:ascii="Verdana" w:hAnsi="Verdana" w:cs="Calibri"/>
          <w:sz w:val="20"/>
          <w:szCs w:val="20"/>
          <w:lang w:eastAsia="el-GR"/>
        </w:rPr>
        <w:t>κοινωνίας και επειδή μπορούμε</w:t>
      </w:r>
      <w:r w:rsidR="00835A1D" w:rsidRPr="00335984">
        <w:rPr>
          <w:rFonts w:ascii="Verdana" w:hAnsi="Verdana" w:cs="Calibri"/>
          <w:sz w:val="20"/>
          <w:szCs w:val="20"/>
          <w:lang w:eastAsia="el-GR"/>
        </w:rPr>
        <w:t xml:space="preserve"> </w:t>
      </w:r>
      <w:r w:rsidR="004660BE" w:rsidRPr="00335984">
        <w:rPr>
          <w:rFonts w:ascii="Verdana" w:hAnsi="Verdana" w:cs="Calibri"/>
          <w:sz w:val="20"/>
          <w:szCs w:val="20"/>
          <w:lang w:eastAsia="el-GR"/>
        </w:rPr>
        <w:t>να ανταποκριθούμε στις υποχρεώσεις των</w:t>
      </w:r>
      <w:r w:rsidR="00835A1D" w:rsidRPr="00335984">
        <w:rPr>
          <w:rFonts w:ascii="Verdana" w:hAnsi="Verdana" w:cs="Calibri"/>
          <w:sz w:val="20"/>
          <w:szCs w:val="20"/>
          <w:lang w:eastAsia="el-GR"/>
        </w:rPr>
        <w:t xml:space="preserve"> </w:t>
      </w:r>
      <w:r w:rsidR="004660BE" w:rsidRPr="00335984">
        <w:rPr>
          <w:rFonts w:ascii="Verdana" w:hAnsi="Verdana" w:cs="Calibri"/>
          <w:sz w:val="20"/>
          <w:szCs w:val="20"/>
          <w:lang w:eastAsia="el-GR"/>
        </w:rPr>
        <w:t>εργοδοτών/φορέων για την εκπαίδευση των μαθητευόμενων</w:t>
      </w:r>
      <w:r w:rsidR="00835A1D" w:rsidRPr="00335984">
        <w:rPr>
          <w:rFonts w:ascii="Verdana" w:hAnsi="Verdana" w:cs="Calibri"/>
          <w:sz w:val="20"/>
          <w:szCs w:val="20"/>
          <w:lang w:eastAsia="el-GR"/>
        </w:rPr>
        <w:t xml:space="preserve"> </w:t>
      </w:r>
      <w:r w:rsidR="004660BE" w:rsidRPr="00335984">
        <w:rPr>
          <w:rFonts w:ascii="Verdana" w:hAnsi="Verdana" w:cs="Calibri"/>
          <w:sz w:val="20"/>
          <w:szCs w:val="20"/>
          <w:lang w:eastAsia="el-GR"/>
        </w:rPr>
        <w:t xml:space="preserve">στον </w:t>
      </w:r>
      <w:r w:rsidR="00835A1D" w:rsidRPr="00335984">
        <w:rPr>
          <w:rFonts w:ascii="Verdana" w:hAnsi="Verdana" w:cs="Calibri"/>
          <w:sz w:val="20"/>
          <w:szCs w:val="20"/>
          <w:lang w:eastAsia="el-GR"/>
        </w:rPr>
        <w:t>Δήμο Αιγιαλείας</w:t>
      </w:r>
      <w:r w:rsidR="004660BE" w:rsidRPr="00335984">
        <w:rPr>
          <w:rFonts w:ascii="Verdana" w:hAnsi="Verdana" w:cs="Calibri"/>
          <w:sz w:val="20"/>
          <w:szCs w:val="20"/>
          <w:lang w:eastAsia="el-GR"/>
        </w:rPr>
        <w:t xml:space="preserve">, </w:t>
      </w:r>
    </w:p>
    <w:p w14:paraId="4211BA2C" w14:textId="77777777" w:rsidR="007D0ADE" w:rsidRPr="00335984" w:rsidRDefault="007D0ADE" w:rsidP="00835A1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0"/>
          <w:szCs w:val="20"/>
          <w:lang w:eastAsia="el-GR"/>
        </w:rPr>
      </w:pPr>
    </w:p>
    <w:p w14:paraId="2BD5A1FB" w14:textId="1216F21E" w:rsidR="004660BE" w:rsidRPr="00335984" w:rsidRDefault="007D0ADE" w:rsidP="00835A1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bCs/>
          <w:sz w:val="20"/>
          <w:szCs w:val="20"/>
          <w:lang w:eastAsia="el-GR"/>
        </w:rPr>
      </w:pPr>
      <w:r w:rsidRPr="00335984">
        <w:rPr>
          <w:rFonts w:ascii="Verdana" w:hAnsi="Verdana" w:cs="Calibri"/>
          <w:b/>
          <w:bCs/>
          <w:sz w:val="20"/>
          <w:szCs w:val="20"/>
          <w:lang w:eastAsia="el-GR"/>
        </w:rPr>
        <w:t xml:space="preserve">  </w:t>
      </w:r>
      <w:r w:rsidR="004660BE" w:rsidRPr="00335984">
        <w:rPr>
          <w:rFonts w:ascii="Verdana" w:hAnsi="Verdana" w:cs="Calibri"/>
          <w:b/>
          <w:bCs/>
          <w:sz w:val="20"/>
          <w:szCs w:val="20"/>
          <w:lang w:eastAsia="el-GR"/>
        </w:rPr>
        <w:t>παρακαλούμε τ</w:t>
      </w:r>
      <w:r w:rsidR="00624347" w:rsidRPr="00335984">
        <w:rPr>
          <w:rFonts w:ascii="Verdana" w:hAnsi="Verdana" w:cs="Calibri"/>
          <w:b/>
          <w:bCs/>
          <w:sz w:val="20"/>
          <w:szCs w:val="20"/>
          <w:lang w:eastAsia="el-GR"/>
        </w:rPr>
        <w:t xml:space="preserve">ην Οικονομική Επιτροπή </w:t>
      </w:r>
      <w:r w:rsidR="004660BE" w:rsidRPr="00335984">
        <w:rPr>
          <w:rFonts w:ascii="Verdana" w:hAnsi="Verdana" w:cs="Calibri"/>
          <w:b/>
          <w:bCs/>
          <w:sz w:val="20"/>
          <w:szCs w:val="20"/>
          <w:lang w:eastAsia="el-GR"/>
        </w:rPr>
        <w:t>να πάρει απόφαση:</w:t>
      </w:r>
    </w:p>
    <w:p w14:paraId="42A8C68F" w14:textId="77777777" w:rsidR="00624347" w:rsidRPr="00335984" w:rsidRDefault="00624347" w:rsidP="00835A1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0"/>
          <w:szCs w:val="20"/>
          <w:lang w:eastAsia="el-GR"/>
        </w:rPr>
      </w:pPr>
    </w:p>
    <w:p w14:paraId="02683554" w14:textId="226D11D5" w:rsidR="00217A66" w:rsidRPr="00335984" w:rsidRDefault="004660BE" w:rsidP="00F5616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bCs/>
          <w:sz w:val="20"/>
          <w:szCs w:val="20"/>
        </w:rPr>
      </w:pPr>
      <w:r w:rsidRPr="00335984">
        <w:rPr>
          <w:rFonts w:ascii="Verdana" w:hAnsi="Verdana" w:cs="Calibri"/>
          <w:sz w:val="20"/>
          <w:szCs w:val="20"/>
          <w:lang w:eastAsia="el-GR"/>
        </w:rPr>
        <w:t xml:space="preserve">Για την ένταξη του </w:t>
      </w:r>
      <w:r w:rsidR="00835A1D" w:rsidRPr="00335984">
        <w:rPr>
          <w:rFonts w:ascii="Verdana" w:hAnsi="Verdana" w:cs="Calibri"/>
          <w:sz w:val="20"/>
          <w:szCs w:val="20"/>
          <w:lang w:eastAsia="el-GR"/>
        </w:rPr>
        <w:t>Δήμου Αιγιαλείας σ</w:t>
      </w:r>
      <w:r w:rsidRPr="00335984">
        <w:rPr>
          <w:rFonts w:ascii="Verdana" w:hAnsi="Verdana" w:cs="Calibri"/>
          <w:sz w:val="20"/>
          <w:szCs w:val="20"/>
          <w:lang w:eastAsia="el-GR"/>
        </w:rPr>
        <w:t>τις επιχειρήσεις/φορείς που μετέχουν στην υλοποίηση του</w:t>
      </w:r>
      <w:r w:rsidR="00835A1D" w:rsidRPr="00335984">
        <w:rPr>
          <w:rFonts w:ascii="Verdana" w:hAnsi="Verdana" w:cs="Calibri"/>
          <w:sz w:val="20"/>
          <w:szCs w:val="20"/>
          <w:lang w:eastAsia="el-GR"/>
        </w:rPr>
        <w:t xml:space="preserve"> </w:t>
      </w:r>
      <w:proofErr w:type="spellStart"/>
      <w:r w:rsidRPr="00335984">
        <w:rPr>
          <w:rFonts w:ascii="Verdana" w:hAnsi="Verdana" w:cs="Calibri"/>
          <w:sz w:val="20"/>
          <w:szCs w:val="20"/>
          <w:lang w:eastAsia="el-GR"/>
        </w:rPr>
        <w:t>Μεταλυκειακού</w:t>
      </w:r>
      <w:proofErr w:type="spellEnd"/>
      <w:r w:rsidRPr="00335984">
        <w:rPr>
          <w:rFonts w:ascii="Verdana" w:hAnsi="Verdana" w:cs="Calibri"/>
          <w:sz w:val="20"/>
          <w:szCs w:val="20"/>
          <w:lang w:eastAsia="el-GR"/>
        </w:rPr>
        <w:t xml:space="preserve"> έτους – Τάξη μαθητείας του σχολικού έτους </w:t>
      </w:r>
      <w:r w:rsidR="00835A1D" w:rsidRPr="00335984">
        <w:rPr>
          <w:rFonts w:ascii="Verdana" w:hAnsi="Verdana" w:cs="Calibri"/>
          <w:sz w:val="20"/>
          <w:szCs w:val="20"/>
          <w:lang w:eastAsia="el-GR"/>
        </w:rPr>
        <w:t>2022-2023</w:t>
      </w:r>
      <w:r w:rsidR="007D0ADE" w:rsidRPr="00335984">
        <w:rPr>
          <w:rFonts w:ascii="Verdana" w:hAnsi="Verdana" w:cs="Calibri"/>
          <w:sz w:val="20"/>
          <w:szCs w:val="20"/>
          <w:lang w:eastAsia="el-GR"/>
        </w:rPr>
        <w:t>.</w:t>
      </w:r>
    </w:p>
    <w:p w14:paraId="5B555167" w14:textId="08D4B959" w:rsidR="00217A66" w:rsidRPr="00335984" w:rsidRDefault="007D0ADE" w:rsidP="00F5616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bCs/>
          <w:sz w:val="20"/>
          <w:szCs w:val="20"/>
        </w:rPr>
      </w:pPr>
      <w:r w:rsidRPr="00335984">
        <w:rPr>
          <w:rFonts w:ascii="Verdana" w:hAnsi="Verdana" w:cs="Calibri"/>
          <w:sz w:val="20"/>
          <w:szCs w:val="20"/>
          <w:lang w:eastAsia="el-GR"/>
        </w:rPr>
        <w:t xml:space="preserve">Για την έγκριση της απασχόλησης </w:t>
      </w:r>
      <w:r w:rsidR="00217A66" w:rsidRPr="00335984">
        <w:rPr>
          <w:rFonts w:ascii="Verdana" w:hAnsi="Verdana"/>
          <w:bCs/>
          <w:sz w:val="20"/>
          <w:szCs w:val="20"/>
        </w:rPr>
        <w:t xml:space="preserve">μαθητευόμενων του προγράμματος </w:t>
      </w:r>
      <w:r w:rsidR="00217A66" w:rsidRPr="00335984">
        <w:rPr>
          <w:rFonts w:ascii="Verdana" w:hAnsi="Verdana"/>
          <w:color w:val="000000"/>
          <w:sz w:val="20"/>
          <w:szCs w:val="20"/>
          <w:shd w:val="clear" w:color="auto" w:fill="FFFFFF"/>
        </w:rPr>
        <w:t>μάθησης σε εργασιακό χώρο</w:t>
      </w:r>
      <w:r w:rsidR="00217A66" w:rsidRPr="00335984">
        <w:rPr>
          <w:rFonts w:ascii="Verdana" w:hAnsi="Verdana" w:cs="Arial"/>
          <w:sz w:val="20"/>
          <w:szCs w:val="20"/>
        </w:rPr>
        <w:t xml:space="preserve"> </w:t>
      </w:r>
      <w:r w:rsidR="00217A66" w:rsidRPr="00335984">
        <w:rPr>
          <w:rFonts w:ascii="Verdana" w:hAnsi="Verdana"/>
          <w:bCs/>
          <w:sz w:val="20"/>
          <w:szCs w:val="20"/>
        </w:rPr>
        <w:t xml:space="preserve">του </w:t>
      </w:r>
      <w:proofErr w:type="spellStart"/>
      <w:r w:rsidR="00217A66" w:rsidRPr="00335984">
        <w:rPr>
          <w:rFonts w:ascii="Verdana" w:hAnsi="Verdana"/>
          <w:bCs/>
          <w:sz w:val="20"/>
          <w:szCs w:val="20"/>
        </w:rPr>
        <w:t>μεταλυκειακού</w:t>
      </w:r>
      <w:proofErr w:type="spellEnd"/>
      <w:r w:rsidR="00217A66" w:rsidRPr="00335984">
        <w:rPr>
          <w:rFonts w:ascii="Verdana" w:hAnsi="Verdana"/>
          <w:bCs/>
          <w:sz w:val="20"/>
          <w:szCs w:val="20"/>
        </w:rPr>
        <w:t xml:space="preserve"> έτους-τάξης μαθητείας των ΕΠΑ.Λ. </w:t>
      </w:r>
      <w:r w:rsidR="00217A66" w:rsidRPr="00335984">
        <w:rPr>
          <w:rFonts w:ascii="Verdana" w:hAnsi="Verdana" w:cs="Calibri"/>
          <w:sz w:val="20"/>
          <w:szCs w:val="20"/>
          <w:lang w:eastAsia="el-GR"/>
        </w:rPr>
        <w:t>για συνολικό αριθμό δέκα(10) μαθητευόμενων</w:t>
      </w:r>
      <w:r w:rsidR="00217A66" w:rsidRPr="00335984">
        <w:rPr>
          <w:rFonts w:ascii="Verdana" w:hAnsi="Verdana"/>
          <w:bCs/>
          <w:sz w:val="20"/>
          <w:szCs w:val="20"/>
        </w:rPr>
        <w:t>, που επιθυμούν να κάνουν την πρακτική τους άσκηση στο</w:t>
      </w:r>
      <w:r w:rsidR="00335984">
        <w:rPr>
          <w:rFonts w:ascii="Verdana" w:hAnsi="Verdana"/>
          <w:bCs/>
          <w:sz w:val="20"/>
          <w:szCs w:val="20"/>
        </w:rPr>
        <w:t>ν</w:t>
      </w:r>
      <w:r w:rsidR="00217A66" w:rsidRPr="00335984">
        <w:rPr>
          <w:rFonts w:ascii="Verdana" w:hAnsi="Verdana"/>
          <w:bCs/>
          <w:sz w:val="20"/>
          <w:szCs w:val="20"/>
        </w:rPr>
        <w:t xml:space="preserve"> Δήμο μας, και για ειδικότητες όπως φαίνονται στον παρακάτω πίνακα:</w:t>
      </w:r>
    </w:p>
    <w:p w14:paraId="25FD899C" w14:textId="77777777" w:rsidR="00835A1D" w:rsidRPr="00335984" w:rsidRDefault="00835A1D" w:rsidP="00835A1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0"/>
          <w:szCs w:val="20"/>
          <w:lang w:eastAsia="el-GR"/>
        </w:rPr>
      </w:pPr>
    </w:p>
    <w:tbl>
      <w:tblPr>
        <w:tblW w:w="9356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3402"/>
      </w:tblGrid>
      <w:tr w:rsidR="00B66B2B" w:rsidRPr="00335984" w14:paraId="066B348E" w14:textId="77777777" w:rsidTr="003B16BF">
        <w:trPr>
          <w:trHeight w:val="11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5AB6" w14:textId="77777777" w:rsidR="00B66B2B" w:rsidRPr="00335984" w:rsidRDefault="00B66B2B" w:rsidP="000B26A8">
            <w:pPr>
              <w:pStyle w:val="TableParagraph"/>
              <w:kinsoku w:val="0"/>
              <w:overflowPunct w:val="0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1C90B855" w14:textId="77777777" w:rsidR="00B66B2B" w:rsidRPr="00335984" w:rsidRDefault="00B66B2B" w:rsidP="000B26A8">
            <w:pPr>
              <w:pStyle w:val="TableParagraph"/>
              <w:kinsoku w:val="0"/>
              <w:overflowPunct w:val="0"/>
              <w:spacing w:before="150"/>
              <w:ind w:left="177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35984">
              <w:rPr>
                <w:rFonts w:ascii="Verdana" w:hAnsi="Verdana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61E7" w14:textId="77777777" w:rsidR="00B66B2B" w:rsidRPr="00335984" w:rsidRDefault="00B66B2B" w:rsidP="000B26A8">
            <w:pPr>
              <w:pStyle w:val="TableParagraph"/>
              <w:kinsoku w:val="0"/>
              <w:overflowPunct w:val="0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4B44D0A1" w14:textId="77777777" w:rsidR="00B66B2B" w:rsidRPr="00335984" w:rsidRDefault="00B66B2B" w:rsidP="000B26A8">
            <w:pPr>
              <w:pStyle w:val="TableParagraph"/>
              <w:kinsoku w:val="0"/>
              <w:overflowPunct w:val="0"/>
              <w:spacing w:before="150"/>
              <w:ind w:left="1108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35984">
              <w:rPr>
                <w:rFonts w:ascii="Verdana" w:hAnsi="Verdana"/>
                <w:b/>
                <w:bCs/>
                <w:sz w:val="20"/>
                <w:szCs w:val="20"/>
              </w:rPr>
              <w:t>ΕΙΔΙΚΟΤΗΤΑ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981E" w14:textId="45263072" w:rsidR="00B66B2B" w:rsidRPr="00335984" w:rsidRDefault="00B66B2B" w:rsidP="009A3DC8">
            <w:pPr>
              <w:pStyle w:val="TableParagraph"/>
              <w:kinsoku w:val="0"/>
              <w:overflowPunct w:val="0"/>
              <w:spacing w:before="47"/>
              <w:ind w:left="138" w:right="178" w:firstLine="175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35984">
              <w:rPr>
                <w:rFonts w:ascii="Verdana" w:hAnsi="Verdana"/>
                <w:b/>
                <w:bCs/>
                <w:sz w:val="20"/>
                <w:szCs w:val="20"/>
              </w:rPr>
              <w:t>ΑΡΙΘΜΟΣ ΝΕΩΝ ΠΡΟΣΦΕΡΟΜΕΝΩΝ</w:t>
            </w:r>
          </w:p>
          <w:p w14:paraId="48CD48B5" w14:textId="64827D76" w:rsidR="00B66B2B" w:rsidRPr="00335984" w:rsidRDefault="00B66B2B" w:rsidP="009A3DC8">
            <w:pPr>
              <w:pStyle w:val="TableParagraph"/>
              <w:kinsoku w:val="0"/>
              <w:overflowPunct w:val="0"/>
              <w:spacing w:before="1" w:line="252" w:lineRule="exact"/>
              <w:ind w:left="152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35984">
              <w:rPr>
                <w:rFonts w:ascii="Verdana" w:hAnsi="Verdana"/>
                <w:b/>
                <w:bCs/>
                <w:sz w:val="20"/>
                <w:szCs w:val="20"/>
              </w:rPr>
              <w:t>ΘΕΣΕΩΝ ΜΕΤ. ΕΤΟΣ ΕΠΑ.Λ.</w:t>
            </w:r>
            <w:r w:rsidR="009A3DC8" w:rsidRPr="00335984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335984">
              <w:rPr>
                <w:rFonts w:ascii="Verdana" w:hAnsi="Verdana"/>
                <w:b/>
                <w:bCs/>
                <w:sz w:val="20"/>
                <w:szCs w:val="20"/>
              </w:rPr>
              <w:t>202</w:t>
            </w:r>
            <w:r w:rsidR="009A3DC8" w:rsidRPr="00335984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  <w:r w:rsidRPr="00335984">
              <w:rPr>
                <w:rFonts w:ascii="Verdana" w:hAnsi="Verdana"/>
                <w:b/>
                <w:bCs/>
                <w:sz w:val="20"/>
                <w:szCs w:val="20"/>
              </w:rPr>
              <w:t>- 202</w:t>
            </w:r>
            <w:r w:rsidR="009A3DC8" w:rsidRPr="00335984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</w:tr>
      <w:tr w:rsidR="00B66B2B" w:rsidRPr="00335984" w14:paraId="4443BC39" w14:textId="77777777" w:rsidTr="003B16BF">
        <w:trPr>
          <w:trHeight w:val="4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D52B" w14:textId="77777777" w:rsidR="00B66B2B" w:rsidRPr="00335984" w:rsidRDefault="00B66B2B" w:rsidP="000B26A8">
            <w:pPr>
              <w:pStyle w:val="TableParagraph"/>
              <w:kinsoku w:val="0"/>
              <w:overflowPunct w:val="0"/>
              <w:spacing w:line="245" w:lineRule="exact"/>
              <w:rPr>
                <w:rFonts w:ascii="Verdana" w:hAnsi="Verdana"/>
                <w:sz w:val="20"/>
                <w:szCs w:val="20"/>
              </w:rPr>
            </w:pPr>
            <w:r w:rsidRPr="0033598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CB8D" w14:textId="77777777" w:rsidR="00B66B2B" w:rsidRPr="00335984" w:rsidRDefault="00B66B2B" w:rsidP="003B16BF">
            <w:pPr>
              <w:pStyle w:val="TableParagraph"/>
              <w:kinsoku w:val="0"/>
              <w:overflowPunct w:val="0"/>
              <w:spacing w:line="245" w:lineRule="exact"/>
              <w:ind w:left="145"/>
              <w:rPr>
                <w:rFonts w:ascii="Verdana" w:hAnsi="Verdana"/>
                <w:sz w:val="20"/>
                <w:szCs w:val="20"/>
              </w:rPr>
            </w:pPr>
            <w:r w:rsidRPr="00335984">
              <w:rPr>
                <w:rFonts w:ascii="Verdana" w:hAnsi="Verdana"/>
                <w:sz w:val="20"/>
                <w:szCs w:val="20"/>
              </w:rPr>
              <w:t>Τεχνικός Εφαρμογών Πληροφορικής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E6DF" w14:textId="1F17E2DB" w:rsidR="00B66B2B" w:rsidRPr="00335984" w:rsidRDefault="009A3DC8" w:rsidP="009A3DC8">
            <w:pPr>
              <w:pStyle w:val="TableParagraph"/>
              <w:kinsoku w:val="0"/>
              <w:overflowPunct w:val="0"/>
              <w:spacing w:line="245" w:lineRule="exact"/>
              <w:ind w:left="149"/>
              <w:rPr>
                <w:rFonts w:ascii="Verdana" w:hAnsi="Verdana"/>
                <w:sz w:val="20"/>
                <w:szCs w:val="20"/>
              </w:rPr>
            </w:pPr>
            <w:r w:rsidRPr="00335984">
              <w:rPr>
                <w:rFonts w:ascii="Verdana" w:hAnsi="Verdana"/>
                <w:sz w:val="20"/>
                <w:szCs w:val="20"/>
              </w:rPr>
              <w:t xml:space="preserve">              </w:t>
            </w:r>
            <w:r w:rsidR="00DB39F8" w:rsidRPr="0033598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66B2B" w:rsidRPr="00335984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B66B2B" w:rsidRPr="00335984" w14:paraId="0C0DF730" w14:textId="77777777" w:rsidTr="003B16BF">
        <w:trPr>
          <w:trHeight w:val="5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ADEC" w14:textId="77777777" w:rsidR="00B66B2B" w:rsidRPr="00335984" w:rsidRDefault="00B66B2B" w:rsidP="000B26A8">
            <w:pPr>
              <w:pStyle w:val="TableParagraph"/>
              <w:kinsoku w:val="0"/>
              <w:overflowPunct w:val="0"/>
              <w:spacing w:line="242" w:lineRule="exact"/>
              <w:rPr>
                <w:rFonts w:ascii="Verdana" w:hAnsi="Verdana"/>
                <w:sz w:val="20"/>
                <w:szCs w:val="20"/>
              </w:rPr>
            </w:pPr>
            <w:r w:rsidRPr="00335984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210E" w14:textId="699E7656" w:rsidR="00B66B2B" w:rsidRPr="00335984" w:rsidRDefault="00B66B2B" w:rsidP="003B16BF">
            <w:pPr>
              <w:pStyle w:val="TableParagraph"/>
              <w:kinsoku w:val="0"/>
              <w:overflowPunct w:val="0"/>
              <w:spacing w:line="242" w:lineRule="auto"/>
              <w:ind w:left="145" w:right="133"/>
              <w:rPr>
                <w:rFonts w:ascii="Verdana" w:hAnsi="Verdana"/>
                <w:sz w:val="20"/>
                <w:szCs w:val="20"/>
              </w:rPr>
            </w:pPr>
            <w:r w:rsidRPr="00335984">
              <w:rPr>
                <w:rFonts w:ascii="Verdana" w:hAnsi="Verdana"/>
                <w:sz w:val="20"/>
                <w:szCs w:val="20"/>
              </w:rPr>
              <w:t>Τεχνικός Ηλεκτρολογικών</w:t>
            </w:r>
            <w:r w:rsidR="005571E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35984">
              <w:rPr>
                <w:rFonts w:ascii="Verdana" w:hAnsi="Verdana"/>
                <w:sz w:val="20"/>
                <w:szCs w:val="20"/>
              </w:rPr>
              <w:t>Συστημάτων, Εγκαταστάσεων και Δικτύων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0CB3" w14:textId="428BE712" w:rsidR="00B66B2B" w:rsidRPr="00335984" w:rsidRDefault="009A3DC8" w:rsidP="009A3DC8">
            <w:pPr>
              <w:pStyle w:val="TableParagraph"/>
              <w:kinsoku w:val="0"/>
              <w:overflowPunct w:val="0"/>
              <w:spacing w:line="242" w:lineRule="exact"/>
              <w:ind w:left="149"/>
              <w:rPr>
                <w:rFonts w:ascii="Verdana" w:hAnsi="Verdana"/>
                <w:sz w:val="20"/>
                <w:szCs w:val="20"/>
              </w:rPr>
            </w:pPr>
            <w:r w:rsidRPr="00335984">
              <w:rPr>
                <w:rFonts w:ascii="Verdana" w:hAnsi="Verdana"/>
                <w:sz w:val="20"/>
                <w:szCs w:val="20"/>
              </w:rPr>
              <w:t xml:space="preserve">               </w:t>
            </w:r>
            <w:r w:rsidR="00B66B2B" w:rsidRPr="00335984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B66B2B" w:rsidRPr="00335984" w14:paraId="5BD452DB" w14:textId="77777777" w:rsidTr="003B16BF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9CD8" w14:textId="77777777" w:rsidR="00B66B2B" w:rsidRPr="00335984" w:rsidRDefault="00B66B2B" w:rsidP="000B26A8">
            <w:pPr>
              <w:pStyle w:val="TableParagraph"/>
              <w:kinsoku w:val="0"/>
              <w:overflowPunct w:val="0"/>
              <w:spacing w:line="242" w:lineRule="exact"/>
              <w:rPr>
                <w:rFonts w:ascii="Verdana" w:hAnsi="Verdana"/>
                <w:sz w:val="20"/>
                <w:szCs w:val="20"/>
              </w:rPr>
            </w:pPr>
            <w:r w:rsidRPr="00335984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DCAFB" w14:textId="77777777" w:rsidR="00B66B2B" w:rsidRPr="00335984" w:rsidRDefault="00B66B2B" w:rsidP="003B16BF">
            <w:pPr>
              <w:pStyle w:val="TableParagraph"/>
              <w:kinsoku w:val="0"/>
              <w:overflowPunct w:val="0"/>
              <w:ind w:left="145" w:right="354"/>
              <w:rPr>
                <w:rFonts w:ascii="Verdana" w:hAnsi="Verdana"/>
                <w:sz w:val="20"/>
                <w:szCs w:val="20"/>
              </w:rPr>
            </w:pPr>
            <w:r w:rsidRPr="00335984">
              <w:rPr>
                <w:rFonts w:ascii="Verdana" w:hAnsi="Verdana"/>
                <w:sz w:val="20"/>
                <w:szCs w:val="20"/>
              </w:rPr>
              <w:t>Τεχνικός Μηχανολογικών Εγκαταστάσεων και Κατασκευών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E816" w14:textId="57B7D314" w:rsidR="00B66B2B" w:rsidRPr="00335984" w:rsidRDefault="009A3DC8" w:rsidP="009A3DC8">
            <w:pPr>
              <w:pStyle w:val="TableParagraph"/>
              <w:kinsoku w:val="0"/>
              <w:overflowPunct w:val="0"/>
              <w:spacing w:line="242" w:lineRule="exact"/>
              <w:ind w:left="149"/>
              <w:rPr>
                <w:rFonts w:ascii="Verdana" w:hAnsi="Verdana"/>
                <w:sz w:val="20"/>
                <w:szCs w:val="20"/>
              </w:rPr>
            </w:pPr>
            <w:r w:rsidRPr="00335984">
              <w:rPr>
                <w:rFonts w:ascii="Verdana" w:hAnsi="Verdana"/>
                <w:sz w:val="20"/>
                <w:szCs w:val="20"/>
              </w:rPr>
              <w:t xml:space="preserve">               </w:t>
            </w:r>
            <w:r w:rsidR="00B66B2B" w:rsidRPr="00335984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B66B2B" w:rsidRPr="00335984" w14:paraId="5BE6AFA0" w14:textId="77777777" w:rsidTr="003B16BF">
        <w:trPr>
          <w:trHeight w:val="4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849B" w14:textId="6CE88575" w:rsidR="00B66B2B" w:rsidRPr="00335984" w:rsidRDefault="00B05B6D" w:rsidP="000B26A8">
            <w:pPr>
              <w:pStyle w:val="TableParagraph"/>
              <w:kinsoku w:val="0"/>
              <w:overflowPunct w:val="0"/>
              <w:spacing w:line="245" w:lineRule="exact"/>
              <w:rPr>
                <w:rFonts w:ascii="Verdana" w:hAnsi="Verdana"/>
                <w:sz w:val="20"/>
                <w:szCs w:val="20"/>
              </w:rPr>
            </w:pPr>
            <w:r w:rsidRPr="00335984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2179" w14:textId="77777777" w:rsidR="00B66B2B" w:rsidRPr="00335984" w:rsidRDefault="00B66B2B" w:rsidP="003B16BF">
            <w:pPr>
              <w:pStyle w:val="TableParagraph"/>
              <w:kinsoku w:val="0"/>
              <w:overflowPunct w:val="0"/>
              <w:spacing w:line="245" w:lineRule="exact"/>
              <w:ind w:left="-5" w:right="7"/>
              <w:rPr>
                <w:rFonts w:ascii="Verdana" w:hAnsi="Verdana"/>
                <w:sz w:val="20"/>
                <w:szCs w:val="20"/>
              </w:rPr>
            </w:pPr>
            <w:r w:rsidRPr="00335984">
              <w:rPr>
                <w:rFonts w:ascii="Verdana" w:hAnsi="Verdana"/>
                <w:sz w:val="20"/>
                <w:szCs w:val="20"/>
              </w:rPr>
              <w:t>Υπάλληλος Διοίκησης &amp; Οικονομικών Υπηρεσιών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FFD6" w14:textId="65587D93" w:rsidR="00B66B2B" w:rsidRPr="00335984" w:rsidRDefault="009A3DC8" w:rsidP="009A3DC8">
            <w:pPr>
              <w:pStyle w:val="TableParagraph"/>
              <w:kinsoku w:val="0"/>
              <w:overflowPunct w:val="0"/>
              <w:spacing w:line="245" w:lineRule="exact"/>
              <w:ind w:left="149"/>
              <w:rPr>
                <w:rFonts w:ascii="Verdana" w:hAnsi="Verdana"/>
                <w:sz w:val="20"/>
                <w:szCs w:val="20"/>
              </w:rPr>
            </w:pPr>
            <w:r w:rsidRPr="00335984">
              <w:rPr>
                <w:rFonts w:ascii="Verdana" w:hAnsi="Verdana"/>
                <w:sz w:val="20"/>
                <w:szCs w:val="20"/>
              </w:rPr>
              <w:t xml:space="preserve">               </w:t>
            </w:r>
            <w:r w:rsidR="00B66B2B" w:rsidRPr="00335984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B66B2B" w:rsidRPr="00335984" w14:paraId="6B1FAB24" w14:textId="77777777" w:rsidTr="003B16BF">
        <w:trPr>
          <w:trHeight w:val="3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62C5" w14:textId="77777777" w:rsidR="00B66B2B" w:rsidRPr="00335984" w:rsidRDefault="00B66B2B" w:rsidP="000B26A8">
            <w:pPr>
              <w:pStyle w:val="TableParagraph"/>
              <w:kinsoku w:val="0"/>
              <w:overflowPunct w:val="0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EAA4" w14:textId="77777777" w:rsidR="00B66B2B" w:rsidRPr="00335984" w:rsidRDefault="00B66B2B" w:rsidP="000B26A8">
            <w:pPr>
              <w:pStyle w:val="TableParagraph"/>
              <w:kinsoku w:val="0"/>
              <w:overflowPunct w:val="0"/>
              <w:spacing w:line="242" w:lineRule="exact"/>
              <w:ind w:left="0" w:right="88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35984">
              <w:rPr>
                <w:rFonts w:ascii="Verdana" w:hAnsi="Verdana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95ED" w14:textId="64584DB6" w:rsidR="00B66B2B" w:rsidRPr="00335984" w:rsidRDefault="009A3DC8" w:rsidP="00217A66">
            <w:pPr>
              <w:pStyle w:val="TableParagraph"/>
              <w:kinsoku w:val="0"/>
              <w:overflowPunct w:val="0"/>
              <w:spacing w:line="242" w:lineRule="exact"/>
              <w:ind w:right="745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35984">
              <w:rPr>
                <w:rFonts w:ascii="Verdana" w:hAnsi="Verdana"/>
                <w:b/>
                <w:bCs/>
                <w:sz w:val="20"/>
                <w:szCs w:val="20"/>
              </w:rPr>
              <w:t xml:space="preserve">    </w:t>
            </w:r>
            <w:r w:rsidR="00217A66" w:rsidRPr="00335984"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  10</w:t>
            </w:r>
          </w:p>
        </w:tc>
      </w:tr>
    </w:tbl>
    <w:p w14:paraId="32E9913A" w14:textId="79863275" w:rsidR="00B66B2B" w:rsidRPr="00335984" w:rsidRDefault="00B66B2B" w:rsidP="00B66B2B">
      <w:pPr>
        <w:pStyle w:val="a7"/>
        <w:tabs>
          <w:tab w:val="left" w:pos="9072"/>
        </w:tabs>
        <w:kinsoku w:val="0"/>
        <w:overflowPunct w:val="0"/>
        <w:ind w:left="104" w:hanging="104"/>
        <w:jc w:val="both"/>
        <w:rPr>
          <w:rFonts w:ascii="Verdana" w:eastAsia="Tahoma" w:hAnsi="Verdana" w:cs="Calibri"/>
          <w:sz w:val="20"/>
          <w:szCs w:val="20"/>
        </w:rPr>
      </w:pPr>
    </w:p>
    <w:p w14:paraId="712076A3" w14:textId="57241C63" w:rsidR="00217A66" w:rsidRPr="00335984" w:rsidRDefault="004972BA" w:rsidP="004972BA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Calibri"/>
          <w:sz w:val="20"/>
          <w:szCs w:val="20"/>
          <w:lang w:eastAsia="el-GR"/>
        </w:rPr>
      </w:pPr>
      <w:r>
        <w:rPr>
          <w:rFonts w:ascii="Verdana" w:hAnsi="Verdana" w:cs="Calibri"/>
          <w:sz w:val="20"/>
          <w:szCs w:val="20"/>
          <w:lang w:eastAsia="el-GR"/>
        </w:rPr>
        <w:t xml:space="preserve">       </w:t>
      </w:r>
      <w:r w:rsidR="007D0ADE" w:rsidRPr="00335984">
        <w:rPr>
          <w:rFonts w:ascii="Verdana" w:hAnsi="Verdana" w:cs="Calibri"/>
          <w:sz w:val="20"/>
          <w:szCs w:val="20"/>
          <w:lang w:eastAsia="el-GR"/>
        </w:rPr>
        <w:t>Σε περίπτωση που οι προσφερόμενες θέσεις μαθητείας δεν μπορούν να καλυφθούν από τις ανωτέρω ειδικότητες δύνανται να καλύπτονται από μαθητευόμενους συναφούς ειδικότητας.</w:t>
      </w:r>
    </w:p>
    <w:p w14:paraId="486B9231" w14:textId="41A30E51" w:rsidR="00217A66" w:rsidRPr="00335984" w:rsidRDefault="004972BA" w:rsidP="004972BA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Calibri"/>
          <w:sz w:val="20"/>
          <w:szCs w:val="20"/>
          <w:lang w:eastAsia="el-GR"/>
        </w:rPr>
      </w:pPr>
      <w:r>
        <w:rPr>
          <w:rFonts w:ascii="Verdana" w:hAnsi="Verdana" w:cs="Calibri"/>
          <w:sz w:val="20"/>
          <w:szCs w:val="20"/>
          <w:lang w:eastAsia="el-GR"/>
        </w:rPr>
        <w:t xml:space="preserve">       </w:t>
      </w:r>
      <w:r w:rsidR="007D0ADE" w:rsidRPr="00335984">
        <w:rPr>
          <w:rFonts w:ascii="Verdana" w:hAnsi="Verdana" w:cs="Calibri"/>
          <w:sz w:val="20"/>
          <w:szCs w:val="20"/>
          <w:lang w:eastAsia="el-GR"/>
        </w:rPr>
        <w:t>Η αμοιβή του μαθητευομένου για το διάστημα της μαθητείας ορίζεται ίση με το 95% επί του κατώτατου ημερομισθίου του ανειδίκευτου εργάτη.</w:t>
      </w:r>
    </w:p>
    <w:p w14:paraId="2D7F21C4" w14:textId="44D92F92" w:rsidR="00217A66" w:rsidRPr="00335984" w:rsidRDefault="004972BA" w:rsidP="004972BA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Calibri"/>
          <w:sz w:val="20"/>
          <w:szCs w:val="20"/>
          <w:lang w:eastAsia="el-GR"/>
        </w:rPr>
      </w:pPr>
      <w:r>
        <w:rPr>
          <w:rFonts w:ascii="Verdana" w:hAnsi="Verdana" w:cs="Calibri"/>
          <w:sz w:val="20"/>
          <w:szCs w:val="20"/>
          <w:lang w:eastAsia="el-GR"/>
        </w:rPr>
        <w:t xml:space="preserve">       </w:t>
      </w:r>
      <w:r w:rsidR="007D0ADE" w:rsidRPr="00335984">
        <w:rPr>
          <w:rFonts w:ascii="Verdana" w:hAnsi="Verdana" w:cs="Calibri"/>
          <w:sz w:val="20"/>
          <w:szCs w:val="20"/>
          <w:lang w:eastAsia="el-GR"/>
        </w:rPr>
        <w:t xml:space="preserve">Για τις ημέρες της κανονικής άδειας, η επιχείρηση θα καταβάλλει ολόκληρο το ημερομίσθιο, ενώ στις περιπτώσεις απουσίας λόγω ασθένειας θα εφαρμόζονται οι διατάξεις των άρθρων 657 και 658 του Αστικού Κώδικα. </w:t>
      </w:r>
    </w:p>
    <w:p w14:paraId="43254AB0" w14:textId="551239CD" w:rsidR="00217A66" w:rsidRPr="00335984" w:rsidRDefault="004972BA" w:rsidP="004972BA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Calibri"/>
          <w:sz w:val="20"/>
          <w:szCs w:val="20"/>
          <w:lang w:eastAsia="el-GR"/>
        </w:rPr>
      </w:pPr>
      <w:r>
        <w:rPr>
          <w:rFonts w:ascii="Verdana" w:hAnsi="Verdana" w:cs="Calibri"/>
          <w:sz w:val="20"/>
          <w:szCs w:val="20"/>
          <w:lang w:eastAsia="el-GR"/>
        </w:rPr>
        <w:t xml:space="preserve">      </w:t>
      </w:r>
      <w:r w:rsidR="007D0ADE" w:rsidRPr="00335984">
        <w:rPr>
          <w:rFonts w:ascii="Verdana" w:hAnsi="Verdana" w:cs="Calibri"/>
          <w:sz w:val="20"/>
          <w:szCs w:val="20"/>
          <w:lang w:eastAsia="el-GR"/>
        </w:rPr>
        <w:t>Από την πρώτη ημέρα της μαθητείας οι μαθητευόμενοι ασφαλίζονται στον ΕΦΚΑ και τους παρέχεται πλήρης ασφαλιστική κάλυψη, σύμφωνα με την παρ. 1 του άρθρου 3 του Ν. 2335/1995. Οι εισφορές θα υπολογίζονται στο ήμισυ των πράγματι καταβαλλόμενων αποδοχών.</w:t>
      </w:r>
    </w:p>
    <w:p w14:paraId="39831304" w14:textId="67673BE5" w:rsidR="00624347" w:rsidRPr="00335984" w:rsidRDefault="004972BA" w:rsidP="004972BA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Calibri"/>
          <w:sz w:val="20"/>
          <w:szCs w:val="20"/>
          <w:lang w:eastAsia="el-GR"/>
        </w:rPr>
      </w:pPr>
      <w:r>
        <w:rPr>
          <w:rFonts w:ascii="Verdana" w:hAnsi="Verdana" w:cs="Calibri"/>
          <w:sz w:val="20"/>
          <w:szCs w:val="20"/>
          <w:lang w:eastAsia="el-GR"/>
        </w:rPr>
        <w:t xml:space="preserve">     </w:t>
      </w:r>
      <w:r w:rsidR="00624347" w:rsidRPr="00624347">
        <w:rPr>
          <w:rFonts w:ascii="Verdana" w:hAnsi="Verdana" w:cs="Calibri"/>
          <w:sz w:val="20"/>
          <w:szCs w:val="20"/>
          <w:lang w:eastAsia="el-GR"/>
        </w:rPr>
        <w:t>Η προκαλούμενη δαπάνη θα καλυφθεί από τους προϋπολογισμούς του Δήμου Αιγιαλείας ετών 202</w:t>
      </w:r>
      <w:r w:rsidR="00624347" w:rsidRPr="00335984">
        <w:rPr>
          <w:rFonts w:ascii="Verdana" w:hAnsi="Verdana" w:cs="Calibri"/>
          <w:sz w:val="20"/>
          <w:szCs w:val="20"/>
          <w:lang w:eastAsia="el-GR"/>
        </w:rPr>
        <w:t>2</w:t>
      </w:r>
      <w:r w:rsidR="00624347" w:rsidRPr="00624347">
        <w:rPr>
          <w:rFonts w:ascii="Verdana" w:hAnsi="Verdana" w:cs="Calibri"/>
          <w:sz w:val="20"/>
          <w:szCs w:val="20"/>
          <w:lang w:eastAsia="el-GR"/>
        </w:rPr>
        <w:t xml:space="preserve"> και 202</w:t>
      </w:r>
      <w:r w:rsidR="00624347" w:rsidRPr="00335984">
        <w:rPr>
          <w:rFonts w:ascii="Verdana" w:hAnsi="Verdana" w:cs="Calibri"/>
          <w:sz w:val="20"/>
          <w:szCs w:val="20"/>
          <w:lang w:eastAsia="el-GR"/>
        </w:rPr>
        <w:t>3</w:t>
      </w:r>
      <w:r w:rsidR="00624347" w:rsidRPr="00624347">
        <w:rPr>
          <w:rFonts w:ascii="Verdana" w:hAnsi="Verdana" w:cs="Calibri"/>
          <w:sz w:val="20"/>
          <w:szCs w:val="20"/>
          <w:lang w:eastAsia="el-GR"/>
        </w:rPr>
        <w:t xml:space="preserve"> με αποφάσεις ανάληψης δαπάνης πολυετούς υποχρέωσης ως εξής: </w:t>
      </w:r>
    </w:p>
    <w:p w14:paraId="6B346D46" w14:textId="77777777" w:rsidR="002A2CC2" w:rsidRPr="00624347" w:rsidRDefault="002A2CC2" w:rsidP="006243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0"/>
          <w:szCs w:val="20"/>
          <w:lang w:eastAsia="el-GR"/>
        </w:rPr>
      </w:pPr>
    </w:p>
    <w:p w14:paraId="23E3594A" w14:textId="77777777" w:rsidR="002A2CC2" w:rsidRPr="00335984" w:rsidRDefault="00624347" w:rsidP="006243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0"/>
          <w:szCs w:val="20"/>
          <w:lang w:eastAsia="el-GR"/>
        </w:rPr>
      </w:pPr>
      <w:r w:rsidRPr="00624347">
        <w:rPr>
          <w:rFonts w:ascii="Verdana" w:hAnsi="Verdana" w:cs="Calibri"/>
          <w:sz w:val="20"/>
          <w:szCs w:val="20"/>
          <w:u w:val="single"/>
          <w:lang w:eastAsia="el-GR"/>
        </w:rPr>
        <w:t>Για το έτος 202</w:t>
      </w:r>
      <w:r w:rsidRPr="00335984">
        <w:rPr>
          <w:rFonts w:ascii="Verdana" w:hAnsi="Verdana" w:cs="Calibri"/>
          <w:sz w:val="20"/>
          <w:szCs w:val="20"/>
          <w:u w:val="single"/>
          <w:lang w:eastAsia="el-GR"/>
        </w:rPr>
        <w:t>2</w:t>
      </w:r>
      <w:r w:rsidRPr="00624347">
        <w:rPr>
          <w:rFonts w:ascii="Verdana" w:hAnsi="Verdana" w:cs="Calibri"/>
          <w:sz w:val="20"/>
          <w:szCs w:val="20"/>
          <w:lang w:eastAsia="el-GR"/>
        </w:rPr>
        <w:t xml:space="preserve">: </w:t>
      </w:r>
    </w:p>
    <w:p w14:paraId="6891D6D9" w14:textId="77777777" w:rsidR="002A2CC2" w:rsidRPr="00335984" w:rsidRDefault="002A2CC2" w:rsidP="006243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0"/>
          <w:szCs w:val="20"/>
          <w:lang w:eastAsia="el-GR"/>
        </w:rPr>
      </w:pPr>
    </w:p>
    <w:p w14:paraId="20E1AB39" w14:textId="4BF09E82" w:rsidR="002A2CC2" w:rsidRPr="003B16BF" w:rsidRDefault="00624347" w:rsidP="006243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0"/>
          <w:szCs w:val="20"/>
          <w:lang w:eastAsia="el-GR"/>
        </w:rPr>
      </w:pPr>
      <w:bookmarkStart w:id="1" w:name="_Hlk105588583"/>
      <w:r w:rsidRPr="003B16BF">
        <w:rPr>
          <w:rFonts w:ascii="Verdana" w:hAnsi="Verdana" w:cs="Calibri"/>
          <w:sz w:val="20"/>
          <w:szCs w:val="20"/>
          <w:lang w:eastAsia="el-GR"/>
        </w:rPr>
        <w:t>Για τ</w:t>
      </w:r>
      <w:r w:rsidR="00EB625E" w:rsidRPr="003B16BF">
        <w:rPr>
          <w:rFonts w:ascii="Verdana" w:hAnsi="Verdana" w:cs="Calibri"/>
          <w:sz w:val="20"/>
          <w:szCs w:val="20"/>
          <w:lang w:eastAsia="el-GR"/>
        </w:rPr>
        <w:t>ις</w:t>
      </w:r>
      <w:r w:rsidRPr="003B16BF">
        <w:rPr>
          <w:rFonts w:ascii="Verdana" w:hAnsi="Verdana" w:cs="Calibri"/>
          <w:sz w:val="20"/>
          <w:szCs w:val="20"/>
          <w:lang w:eastAsia="el-GR"/>
        </w:rPr>
        <w:t xml:space="preserve"> αμοιβ</w:t>
      </w:r>
      <w:r w:rsidR="00EB625E" w:rsidRPr="003B16BF">
        <w:rPr>
          <w:rFonts w:ascii="Verdana" w:hAnsi="Verdana" w:cs="Calibri"/>
          <w:sz w:val="20"/>
          <w:szCs w:val="20"/>
          <w:lang w:eastAsia="el-GR"/>
        </w:rPr>
        <w:t>ές</w:t>
      </w:r>
      <w:r w:rsidRPr="003B16BF">
        <w:rPr>
          <w:rFonts w:ascii="Verdana" w:hAnsi="Verdana" w:cs="Calibri"/>
          <w:sz w:val="20"/>
          <w:szCs w:val="20"/>
          <w:lang w:eastAsia="el-GR"/>
        </w:rPr>
        <w:t xml:space="preserve"> απ</w:t>
      </w:r>
      <w:r w:rsidR="002A2CC2" w:rsidRPr="003B16BF">
        <w:rPr>
          <w:rFonts w:ascii="Verdana" w:hAnsi="Verdana" w:cs="Calibri"/>
          <w:sz w:val="20"/>
          <w:szCs w:val="20"/>
          <w:lang w:eastAsia="el-GR"/>
        </w:rPr>
        <w:t>οφάσεις</w:t>
      </w:r>
      <w:r w:rsidRPr="003B16BF">
        <w:rPr>
          <w:rFonts w:ascii="Verdana" w:hAnsi="Verdana" w:cs="Calibri"/>
          <w:sz w:val="20"/>
          <w:szCs w:val="20"/>
          <w:lang w:eastAsia="el-GR"/>
        </w:rPr>
        <w:t xml:space="preserve"> ανάληψης πολυετούς υποχρέωσης και βεβα</w:t>
      </w:r>
      <w:r w:rsidR="002A2CC2" w:rsidRPr="003B16BF">
        <w:rPr>
          <w:rFonts w:ascii="Verdana" w:hAnsi="Verdana" w:cs="Calibri"/>
          <w:sz w:val="20"/>
          <w:szCs w:val="20"/>
          <w:lang w:eastAsia="el-GR"/>
        </w:rPr>
        <w:t xml:space="preserve">ιώσεις </w:t>
      </w:r>
      <w:r w:rsidRPr="003B16BF">
        <w:rPr>
          <w:rFonts w:ascii="Verdana" w:hAnsi="Verdana" w:cs="Calibri"/>
          <w:sz w:val="20"/>
          <w:szCs w:val="20"/>
          <w:lang w:eastAsia="el-GR"/>
        </w:rPr>
        <w:t>δέσμευσης πίστωσης</w:t>
      </w:r>
      <w:r w:rsidR="002A2CC2" w:rsidRPr="003B16BF">
        <w:rPr>
          <w:rFonts w:ascii="Verdana" w:hAnsi="Verdana" w:cs="Calibri"/>
          <w:sz w:val="20"/>
          <w:szCs w:val="20"/>
          <w:lang w:eastAsia="el-GR"/>
        </w:rPr>
        <w:t>:</w:t>
      </w:r>
    </w:p>
    <w:p w14:paraId="1CDCE2F1" w14:textId="77777777" w:rsidR="002A2CC2" w:rsidRPr="003B16BF" w:rsidRDefault="002A2CC2" w:rsidP="002A2CC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Calibri"/>
          <w:sz w:val="20"/>
          <w:szCs w:val="20"/>
          <w:lang w:eastAsia="el-GR"/>
        </w:rPr>
      </w:pPr>
      <w:r w:rsidRPr="003B16BF">
        <w:rPr>
          <w:rFonts w:ascii="Verdana" w:hAnsi="Verdana" w:cs="Calibri"/>
          <w:sz w:val="20"/>
          <w:szCs w:val="20"/>
          <w:lang w:eastAsia="el-GR"/>
        </w:rPr>
        <w:t xml:space="preserve">Στον ΚΑ 10-6041.004 ΑΑΥ </w:t>
      </w:r>
      <w:r w:rsidR="00624347" w:rsidRPr="003B16BF">
        <w:rPr>
          <w:rFonts w:ascii="Verdana" w:hAnsi="Verdana" w:cs="Calibri"/>
          <w:sz w:val="20"/>
          <w:szCs w:val="20"/>
          <w:lang w:eastAsia="el-GR"/>
        </w:rPr>
        <w:t>αριθ. Α-</w:t>
      </w:r>
      <w:r w:rsidRPr="003B16BF">
        <w:rPr>
          <w:rFonts w:ascii="Verdana" w:hAnsi="Verdana" w:cs="Calibri"/>
          <w:sz w:val="20"/>
          <w:szCs w:val="20"/>
          <w:lang w:eastAsia="el-GR"/>
        </w:rPr>
        <w:t>……</w:t>
      </w:r>
      <w:r w:rsidR="00624347" w:rsidRPr="003B16BF">
        <w:rPr>
          <w:rFonts w:ascii="Verdana" w:hAnsi="Verdana" w:cs="Calibri"/>
          <w:sz w:val="20"/>
          <w:szCs w:val="20"/>
          <w:lang w:eastAsia="el-GR"/>
        </w:rPr>
        <w:t>/</w:t>
      </w:r>
      <w:r w:rsidRPr="003B16BF">
        <w:rPr>
          <w:rFonts w:ascii="Verdana" w:hAnsi="Verdana" w:cs="Calibri"/>
          <w:sz w:val="20"/>
          <w:szCs w:val="20"/>
          <w:lang w:eastAsia="el-GR"/>
        </w:rPr>
        <w:t>……..</w:t>
      </w:r>
      <w:r w:rsidR="00624347" w:rsidRPr="003B16BF">
        <w:rPr>
          <w:rFonts w:ascii="Verdana" w:hAnsi="Verdana" w:cs="Calibri"/>
          <w:sz w:val="20"/>
          <w:szCs w:val="20"/>
          <w:lang w:eastAsia="el-GR"/>
        </w:rPr>
        <w:t xml:space="preserve"> (ΑΔΑ:</w:t>
      </w:r>
      <w:r w:rsidRPr="003B16BF">
        <w:rPr>
          <w:rFonts w:ascii="Verdana" w:hAnsi="Verdana" w:cs="Calibri"/>
          <w:sz w:val="20"/>
          <w:szCs w:val="20"/>
          <w:lang w:eastAsia="el-GR"/>
        </w:rPr>
        <w:t>……………</w:t>
      </w:r>
      <w:r w:rsidR="00624347" w:rsidRPr="003B16BF">
        <w:rPr>
          <w:rFonts w:ascii="Verdana" w:hAnsi="Verdana" w:cs="Calibri"/>
          <w:sz w:val="20"/>
          <w:szCs w:val="20"/>
          <w:lang w:eastAsia="el-GR"/>
        </w:rPr>
        <w:t>) ποσού 1.</w:t>
      </w:r>
      <w:r w:rsidRPr="003B16BF">
        <w:rPr>
          <w:rFonts w:ascii="Verdana" w:hAnsi="Verdana" w:cs="Calibri"/>
          <w:sz w:val="20"/>
          <w:szCs w:val="20"/>
          <w:lang w:eastAsia="el-GR"/>
        </w:rPr>
        <w:t>6</w:t>
      </w:r>
      <w:r w:rsidR="00624347" w:rsidRPr="003B16BF">
        <w:rPr>
          <w:rFonts w:ascii="Verdana" w:hAnsi="Verdana" w:cs="Calibri"/>
          <w:sz w:val="20"/>
          <w:szCs w:val="20"/>
          <w:lang w:eastAsia="el-GR"/>
        </w:rPr>
        <w:t xml:space="preserve">00,00€ </w:t>
      </w:r>
    </w:p>
    <w:p w14:paraId="578CEED2" w14:textId="77777777" w:rsidR="00EB625E" w:rsidRPr="003B16BF" w:rsidRDefault="002A2CC2" w:rsidP="002A2CC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Calibri"/>
          <w:sz w:val="20"/>
          <w:szCs w:val="20"/>
          <w:lang w:eastAsia="el-GR"/>
        </w:rPr>
      </w:pPr>
      <w:r w:rsidRPr="003B16BF">
        <w:rPr>
          <w:rFonts w:ascii="Verdana" w:hAnsi="Verdana" w:cs="Calibri"/>
          <w:sz w:val="20"/>
          <w:szCs w:val="20"/>
          <w:lang w:eastAsia="el-GR"/>
        </w:rPr>
        <w:t>Στον ΚΑ 30-6041.004 ΑΑΥ αριθ. Α-……/…….. (ΑΔΑ:……………) ποσού 2.000,00€</w:t>
      </w:r>
    </w:p>
    <w:p w14:paraId="05270216" w14:textId="2B4A2C29" w:rsidR="002A2CC2" w:rsidRPr="003B16BF" w:rsidRDefault="002A2CC2" w:rsidP="002A2CC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Calibri"/>
          <w:sz w:val="20"/>
          <w:szCs w:val="20"/>
          <w:lang w:eastAsia="el-GR"/>
        </w:rPr>
      </w:pPr>
      <w:r w:rsidRPr="003B16BF">
        <w:rPr>
          <w:rFonts w:ascii="Verdana" w:hAnsi="Verdana" w:cs="Calibri"/>
          <w:sz w:val="20"/>
          <w:szCs w:val="20"/>
          <w:lang w:eastAsia="el-GR"/>
        </w:rPr>
        <w:t>Στον ΚΑ 70-6041.005 ΑΑΥ αριθ. Α-……/…….. (ΑΔΑ:……………) ποσού   400,00€</w:t>
      </w:r>
    </w:p>
    <w:p w14:paraId="6801583A" w14:textId="77777777" w:rsidR="00EB625E" w:rsidRPr="003B16BF" w:rsidRDefault="00EB625E" w:rsidP="00EB625E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Calibri"/>
          <w:sz w:val="20"/>
          <w:szCs w:val="20"/>
          <w:lang w:eastAsia="el-GR"/>
        </w:rPr>
      </w:pPr>
    </w:p>
    <w:p w14:paraId="6D2E786D" w14:textId="22E7FEB2" w:rsidR="002A2CC2" w:rsidRPr="003B16BF" w:rsidRDefault="002A2CC2" w:rsidP="002A2CC2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Verdana" w:hAnsi="Verdana" w:cs="Calibri"/>
          <w:sz w:val="20"/>
          <w:szCs w:val="20"/>
          <w:lang w:eastAsia="el-GR"/>
        </w:rPr>
      </w:pPr>
      <w:r w:rsidRPr="003B16BF">
        <w:rPr>
          <w:rFonts w:ascii="Verdana" w:hAnsi="Verdana" w:cs="Calibri"/>
          <w:sz w:val="20"/>
          <w:szCs w:val="20"/>
          <w:lang w:eastAsia="el-GR"/>
        </w:rPr>
        <w:t>Για τις ασφαλιστικές εισφορές αποφάσεις ανάληψης πολυετούς υποχρέωσης και βεβαιώσεις δέσμευσης πίστωσης:</w:t>
      </w:r>
    </w:p>
    <w:p w14:paraId="234696EE" w14:textId="0318CEBB" w:rsidR="00EB625E" w:rsidRPr="003B16BF" w:rsidRDefault="00EB625E" w:rsidP="00EB625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Calibri"/>
          <w:sz w:val="20"/>
          <w:szCs w:val="20"/>
          <w:lang w:eastAsia="el-GR"/>
        </w:rPr>
      </w:pPr>
      <w:r w:rsidRPr="003B16BF">
        <w:rPr>
          <w:rFonts w:ascii="Verdana" w:hAnsi="Verdana" w:cs="Calibri"/>
          <w:sz w:val="20"/>
          <w:szCs w:val="20"/>
          <w:lang w:eastAsia="el-GR"/>
        </w:rPr>
        <w:t xml:space="preserve">Στον ΚΑ 10-6054.003 ΑΑΥ αριθ. Α-……/…….. (ΑΔΑ:……………) ποσού 1.200,00€ </w:t>
      </w:r>
    </w:p>
    <w:p w14:paraId="6618EC0B" w14:textId="4244E160" w:rsidR="00EB625E" w:rsidRPr="003B16BF" w:rsidRDefault="00EB625E" w:rsidP="00EB625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Calibri"/>
          <w:sz w:val="20"/>
          <w:szCs w:val="20"/>
          <w:lang w:eastAsia="el-GR"/>
        </w:rPr>
      </w:pPr>
      <w:r w:rsidRPr="003B16BF">
        <w:rPr>
          <w:rFonts w:ascii="Verdana" w:hAnsi="Verdana" w:cs="Calibri"/>
          <w:sz w:val="20"/>
          <w:szCs w:val="20"/>
          <w:lang w:eastAsia="el-GR"/>
        </w:rPr>
        <w:t>Στον ΚΑ 30-6054.004 ΑΑΥ αριθ. Α-……/…….. (ΑΔΑ:……………) ποσού 1.500,00€</w:t>
      </w:r>
    </w:p>
    <w:p w14:paraId="65245C0D" w14:textId="21BDAFB8" w:rsidR="00EB625E" w:rsidRPr="003B16BF" w:rsidRDefault="00EB625E" w:rsidP="00EB625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Calibri"/>
          <w:sz w:val="20"/>
          <w:szCs w:val="20"/>
          <w:lang w:eastAsia="el-GR"/>
        </w:rPr>
      </w:pPr>
      <w:r w:rsidRPr="003B16BF">
        <w:rPr>
          <w:rFonts w:ascii="Verdana" w:hAnsi="Verdana" w:cs="Calibri"/>
          <w:sz w:val="20"/>
          <w:szCs w:val="20"/>
          <w:lang w:eastAsia="el-GR"/>
        </w:rPr>
        <w:t>Στον ΚΑ 70-6054.005 ΑΑΥ αριθ. Α-……/…….. (ΑΔΑ:…………..) ποσού   300,00€</w:t>
      </w:r>
    </w:p>
    <w:bookmarkEnd w:id="1"/>
    <w:p w14:paraId="5BDAD75D" w14:textId="60AD7AEF" w:rsidR="00EB625E" w:rsidRPr="003B16BF" w:rsidRDefault="00624347" w:rsidP="005447A4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Calibri"/>
          <w:sz w:val="20"/>
          <w:szCs w:val="20"/>
          <w:lang w:eastAsia="el-GR"/>
        </w:rPr>
      </w:pPr>
      <w:r w:rsidRPr="003B16BF">
        <w:rPr>
          <w:rFonts w:ascii="Verdana" w:hAnsi="Verdana" w:cs="Calibri"/>
          <w:sz w:val="20"/>
          <w:szCs w:val="20"/>
          <w:lang w:eastAsia="el-GR"/>
        </w:rPr>
        <w:lastRenderedPageBreak/>
        <w:t xml:space="preserve"> </w:t>
      </w:r>
      <w:r w:rsidRPr="003B16BF">
        <w:rPr>
          <w:rFonts w:ascii="Verdana" w:hAnsi="Verdana" w:cs="Calibri"/>
          <w:sz w:val="20"/>
          <w:szCs w:val="20"/>
          <w:u w:val="single"/>
          <w:lang w:eastAsia="el-GR"/>
        </w:rPr>
        <w:t>Για το έτος 202</w:t>
      </w:r>
      <w:r w:rsidR="002A2CC2" w:rsidRPr="003B16BF">
        <w:rPr>
          <w:rFonts w:ascii="Verdana" w:hAnsi="Verdana" w:cs="Calibri"/>
          <w:sz w:val="20"/>
          <w:szCs w:val="20"/>
          <w:u w:val="single"/>
          <w:lang w:eastAsia="el-GR"/>
        </w:rPr>
        <w:t>3</w:t>
      </w:r>
      <w:r w:rsidRPr="003B16BF">
        <w:rPr>
          <w:rFonts w:ascii="Verdana" w:hAnsi="Verdana" w:cs="Calibri"/>
          <w:sz w:val="20"/>
          <w:szCs w:val="20"/>
          <w:lang w:eastAsia="el-GR"/>
        </w:rPr>
        <w:t xml:space="preserve">: </w:t>
      </w:r>
    </w:p>
    <w:p w14:paraId="25661194" w14:textId="77777777" w:rsidR="005571E5" w:rsidRPr="003B16BF" w:rsidRDefault="005571E5" w:rsidP="006243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0"/>
          <w:szCs w:val="20"/>
          <w:lang w:eastAsia="el-GR"/>
        </w:rPr>
      </w:pPr>
    </w:p>
    <w:p w14:paraId="0539E4FE" w14:textId="77777777" w:rsidR="00EB625E" w:rsidRPr="003B16BF" w:rsidRDefault="00EB625E" w:rsidP="00EB625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0"/>
          <w:szCs w:val="20"/>
          <w:lang w:eastAsia="el-GR"/>
        </w:rPr>
      </w:pPr>
      <w:r w:rsidRPr="003B16BF">
        <w:rPr>
          <w:rFonts w:ascii="Verdana" w:hAnsi="Verdana" w:cs="Calibri"/>
          <w:sz w:val="20"/>
          <w:szCs w:val="20"/>
          <w:lang w:eastAsia="el-GR"/>
        </w:rPr>
        <w:t>Για τις αμοιβές αποφάσεις ανάληψης πολυετούς υποχρέωσης και βεβαιώσεις δέσμευσης πίστωσης:</w:t>
      </w:r>
    </w:p>
    <w:p w14:paraId="1912956E" w14:textId="4C574BDD" w:rsidR="00EB625E" w:rsidRPr="003B16BF" w:rsidRDefault="00EB625E" w:rsidP="00EB625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Calibri"/>
          <w:sz w:val="20"/>
          <w:szCs w:val="20"/>
          <w:lang w:eastAsia="el-GR"/>
        </w:rPr>
      </w:pPr>
      <w:r w:rsidRPr="003B16BF">
        <w:rPr>
          <w:rFonts w:ascii="Verdana" w:hAnsi="Verdana" w:cs="Calibri"/>
          <w:sz w:val="20"/>
          <w:szCs w:val="20"/>
          <w:lang w:eastAsia="el-GR"/>
        </w:rPr>
        <w:t xml:space="preserve">Στον ΚΑ 10-6041.004 ΑΑΥ αριθ. Α-……/…….. (ΑΔΑ:……………) ποσού 4.400,00€ </w:t>
      </w:r>
    </w:p>
    <w:p w14:paraId="78FB566E" w14:textId="595B62B1" w:rsidR="00EB625E" w:rsidRPr="003B16BF" w:rsidRDefault="00EB625E" w:rsidP="00EB625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Calibri"/>
          <w:sz w:val="20"/>
          <w:szCs w:val="20"/>
          <w:lang w:eastAsia="el-GR"/>
        </w:rPr>
      </w:pPr>
      <w:r w:rsidRPr="003B16BF">
        <w:rPr>
          <w:rFonts w:ascii="Verdana" w:hAnsi="Verdana" w:cs="Calibri"/>
          <w:sz w:val="20"/>
          <w:szCs w:val="20"/>
          <w:lang w:eastAsia="el-GR"/>
        </w:rPr>
        <w:t>Στον ΚΑ 30-6041.004 ΑΑΥ αριθ. Α-……/…….. (ΑΔΑ:……………) ποσού 5.500,00€</w:t>
      </w:r>
    </w:p>
    <w:p w14:paraId="5D2FA003" w14:textId="765CA96E" w:rsidR="00EB625E" w:rsidRPr="003B16BF" w:rsidRDefault="00EB625E" w:rsidP="00EB625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Calibri"/>
          <w:sz w:val="20"/>
          <w:szCs w:val="20"/>
          <w:lang w:eastAsia="el-GR"/>
        </w:rPr>
      </w:pPr>
      <w:r w:rsidRPr="003B16BF">
        <w:rPr>
          <w:rFonts w:ascii="Verdana" w:hAnsi="Verdana" w:cs="Calibri"/>
          <w:sz w:val="20"/>
          <w:szCs w:val="20"/>
          <w:lang w:eastAsia="el-GR"/>
        </w:rPr>
        <w:t>Στον ΚΑ 70-6041.005 ΑΑΥ αριθ. Α-……/…….. (ΑΔΑ:……………) ποσού 1.100,00€</w:t>
      </w:r>
    </w:p>
    <w:p w14:paraId="071A7C38" w14:textId="77777777" w:rsidR="00EB625E" w:rsidRPr="003B16BF" w:rsidRDefault="00EB625E" w:rsidP="00EB625E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Calibri"/>
          <w:sz w:val="20"/>
          <w:szCs w:val="20"/>
          <w:lang w:eastAsia="el-GR"/>
        </w:rPr>
      </w:pPr>
    </w:p>
    <w:p w14:paraId="1E1C1DC1" w14:textId="77777777" w:rsidR="00EB625E" w:rsidRPr="003B16BF" w:rsidRDefault="00EB625E" w:rsidP="00EB625E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Verdana" w:hAnsi="Verdana" w:cs="Calibri"/>
          <w:sz w:val="20"/>
          <w:szCs w:val="20"/>
          <w:lang w:eastAsia="el-GR"/>
        </w:rPr>
      </w:pPr>
      <w:r w:rsidRPr="003B16BF">
        <w:rPr>
          <w:rFonts w:ascii="Verdana" w:hAnsi="Verdana" w:cs="Calibri"/>
          <w:sz w:val="20"/>
          <w:szCs w:val="20"/>
          <w:lang w:eastAsia="el-GR"/>
        </w:rPr>
        <w:t>Για τις ασφαλιστικές εισφορές αποφάσεις ανάληψης πολυετούς υποχρέωσης και βεβαιώσεις δέσμευσης πίστωσης:</w:t>
      </w:r>
    </w:p>
    <w:p w14:paraId="37AE2B70" w14:textId="6B549741" w:rsidR="00EB625E" w:rsidRPr="003B16BF" w:rsidRDefault="00EB625E" w:rsidP="00EB625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Calibri"/>
          <w:sz w:val="20"/>
          <w:szCs w:val="20"/>
          <w:lang w:eastAsia="el-GR"/>
        </w:rPr>
      </w:pPr>
      <w:r w:rsidRPr="003B16BF">
        <w:rPr>
          <w:rFonts w:ascii="Verdana" w:hAnsi="Verdana" w:cs="Calibri"/>
          <w:sz w:val="20"/>
          <w:szCs w:val="20"/>
          <w:lang w:eastAsia="el-GR"/>
        </w:rPr>
        <w:t xml:space="preserve">Στον ΚΑ 10-6054.003 ΑΑΥ αριθ. Α-……/…….. (ΑΔΑ:……………) ποσού 3.200,00€ </w:t>
      </w:r>
    </w:p>
    <w:p w14:paraId="2FC5359D" w14:textId="66B33B6C" w:rsidR="00EB625E" w:rsidRPr="003B16BF" w:rsidRDefault="00EB625E" w:rsidP="00EB625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Calibri"/>
          <w:sz w:val="20"/>
          <w:szCs w:val="20"/>
          <w:lang w:eastAsia="el-GR"/>
        </w:rPr>
      </w:pPr>
      <w:r w:rsidRPr="003B16BF">
        <w:rPr>
          <w:rFonts w:ascii="Verdana" w:hAnsi="Verdana" w:cs="Calibri"/>
          <w:sz w:val="20"/>
          <w:szCs w:val="20"/>
          <w:lang w:eastAsia="el-GR"/>
        </w:rPr>
        <w:t>Στον ΚΑ 30-6054.004 ΑΑΥ αριθ. Α-……/…….. (ΑΔΑ:……………) ποσού 4.</w:t>
      </w:r>
      <w:r w:rsidR="00C64C7C" w:rsidRPr="003B16BF">
        <w:rPr>
          <w:rFonts w:ascii="Verdana" w:hAnsi="Verdana" w:cs="Calibri"/>
          <w:sz w:val="20"/>
          <w:szCs w:val="20"/>
          <w:lang w:eastAsia="el-GR"/>
        </w:rPr>
        <w:t>0</w:t>
      </w:r>
      <w:r w:rsidRPr="003B16BF">
        <w:rPr>
          <w:rFonts w:ascii="Verdana" w:hAnsi="Verdana" w:cs="Calibri"/>
          <w:sz w:val="20"/>
          <w:szCs w:val="20"/>
          <w:lang w:eastAsia="el-GR"/>
        </w:rPr>
        <w:t>00,00€</w:t>
      </w:r>
    </w:p>
    <w:p w14:paraId="3BA69E47" w14:textId="6DB4EDDD" w:rsidR="00EB625E" w:rsidRPr="003B16BF" w:rsidRDefault="00EB625E" w:rsidP="00EB625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Calibri"/>
          <w:sz w:val="20"/>
          <w:szCs w:val="20"/>
          <w:lang w:eastAsia="el-GR"/>
        </w:rPr>
      </w:pPr>
      <w:r w:rsidRPr="003B16BF">
        <w:rPr>
          <w:rFonts w:ascii="Verdana" w:hAnsi="Verdana" w:cs="Calibri"/>
          <w:sz w:val="20"/>
          <w:szCs w:val="20"/>
          <w:lang w:eastAsia="el-GR"/>
        </w:rPr>
        <w:t>Στον ΚΑ 70-6054.005 ΑΑΥ αριθ. Α-……/…….. (ΑΔΑ:……………) ποσού   800,00€</w:t>
      </w:r>
    </w:p>
    <w:p w14:paraId="437D5C97" w14:textId="77777777" w:rsidR="00EB625E" w:rsidRPr="00335984" w:rsidRDefault="00EB625E" w:rsidP="00EB625E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Calibri"/>
          <w:sz w:val="20"/>
          <w:szCs w:val="20"/>
          <w:lang w:eastAsia="el-GR"/>
        </w:rPr>
      </w:pPr>
    </w:p>
    <w:p w14:paraId="279A72B7" w14:textId="7E71BB98" w:rsidR="00624347" w:rsidRDefault="00624347" w:rsidP="006243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0"/>
          <w:szCs w:val="20"/>
          <w:lang w:eastAsia="el-GR"/>
        </w:rPr>
      </w:pPr>
    </w:p>
    <w:p w14:paraId="6C36BCA3" w14:textId="6AA59742" w:rsidR="004972BA" w:rsidRPr="004972BA" w:rsidRDefault="004972BA" w:rsidP="006243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bCs/>
          <w:sz w:val="20"/>
          <w:szCs w:val="20"/>
          <w:lang w:eastAsia="el-GR"/>
        </w:rPr>
      </w:pPr>
      <w:r w:rsidRPr="004972BA">
        <w:rPr>
          <w:rFonts w:ascii="Verdana" w:hAnsi="Verdana" w:cs="Calibri"/>
          <w:b/>
          <w:bCs/>
          <w:sz w:val="20"/>
          <w:szCs w:val="20"/>
          <w:lang w:eastAsia="el-GR"/>
        </w:rPr>
        <w:t xml:space="preserve">                                            Η Αντιδήμαρχος</w:t>
      </w:r>
    </w:p>
    <w:p w14:paraId="6DA8B07E" w14:textId="7B87B2BA" w:rsidR="004972BA" w:rsidRPr="004972BA" w:rsidRDefault="004972BA" w:rsidP="006243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bCs/>
          <w:sz w:val="20"/>
          <w:szCs w:val="20"/>
          <w:lang w:eastAsia="el-GR"/>
        </w:rPr>
      </w:pPr>
    </w:p>
    <w:p w14:paraId="1FE08B93" w14:textId="04573F94" w:rsidR="004972BA" w:rsidRPr="004972BA" w:rsidRDefault="004972BA" w:rsidP="006243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bCs/>
          <w:sz w:val="20"/>
          <w:szCs w:val="20"/>
          <w:lang w:eastAsia="el-GR"/>
        </w:rPr>
      </w:pPr>
    </w:p>
    <w:p w14:paraId="222EB495" w14:textId="74D28B39" w:rsidR="004972BA" w:rsidRPr="004972BA" w:rsidRDefault="004972BA" w:rsidP="006243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bCs/>
          <w:sz w:val="20"/>
          <w:szCs w:val="20"/>
          <w:lang w:eastAsia="el-GR"/>
        </w:rPr>
      </w:pPr>
    </w:p>
    <w:p w14:paraId="4C33F468" w14:textId="571264FB" w:rsidR="004972BA" w:rsidRPr="004972BA" w:rsidRDefault="004972BA" w:rsidP="006243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bCs/>
          <w:sz w:val="20"/>
          <w:szCs w:val="20"/>
          <w:lang w:eastAsia="el-GR"/>
        </w:rPr>
      </w:pPr>
      <w:r w:rsidRPr="004972BA">
        <w:rPr>
          <w:rFonts w:ascii="Verdana" w:hAnsi="Verdana" w:cs="Calibri"/>
          <w:b/>
          <w:bCs/>
          <w:sz w:val="20"/>
          <w:szCs w:val="20"/>
          <w:lang w:eastAsia="el-GR"/>
        </w:rPr>
        <w:t xml:space="preserve">                                     Διαμάντω </w:t>
      </w:r>
      <w:proofErr w:type="spellStart"/>
      <w:r w:rsidRPr="004972BA">
        <w:rPr>
          <w:rFonts w:ascii="Verdana" w:hAnsi="Verdana" w:cs="Calibri"/>
          <w:b/>
          <w:bCs/>
          <w:sz w:val="20"/>
          <w:szCs w:val="20"/>
          <w:lang w:eastAsia="el-GR"/>
        </w:rPr>
        <w:t>Βασιλακοπούλου</w:t>
      </w:r>
      <w:proofErr w:type="spellEnd"/>
    </w:p>
    <w:sectPr w:rsidR="004972BA" w:rsidRPr="004972BA" w:rsidSect="003B16BF">
      <w:footerReference w:type="default" r:id="rId8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A841C" w14:textId="77777777" w:rsidR="00B5269C" w:rsidRDefault="00B5269C" w:rsidP="00063BE2">
      <w:pPr>
        <w:spacing w:after="0" w:line="240" w:lineRule="auto"/>
      </w:pPr>
      <w:r>
        <w:separator/>
      </w:r>
    </w:p>
  </w:endnote>
  <w:endnote w:type="continuationSeparator" w:id="0">
    <w:p w14:paraId="0068CEA9" w14:textId="77777777" w:rsidR="00B5269C" w:rsidRDefault="00B5269C" w:rsidP="0006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2D01C" w14:textId="23FF1BA2" w:rsidR="00CD3DB4" w:rsidRDefault="00A24B0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47A4">
      <w:rPr>
        <w:noProof/>
      </w:rPr>
      <w:t>3</w:t>
    </w:r>
    <w:r>
      <w:rPr>
        <w:noProof/>
      </w:rPr>
      <w:fldChar w:fldCharType="end"/>
    </w:r>
  </w:p>
  <w:p w14:paraId="0496B38B" w14:textId="77777777" w:rsidR="00CD3DB4" w:rsidRDefault="00CD3D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81F2B" w14:textId="77777777" w:rsidR="00B5269C" w:rsidRDefault="00B5269C" w:rsidP="00063BE2">
      <w:pPr>
        <w:spacing w:after="0" w:line="240" w:lineRule="auto"/>
      </w:pPr>
      <w:r>
        <w:separator/>
      </w:r>
    </w:p>
  </w:footnote>
  <w:footnote w:type="continuationSeparator" w:id="0">
    <w:p w14:paraId="06B8F66A" w14:textId="77777777" w:rsidR="00B5269C" w:rsidRDefault="00B5269C" w:rsidP="00063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62C5"/>
    <w:multiLevelType w:val="hybridMultilevel"/>
    <w:tmpl w:val="7CCE5C36"/>
    <w:lvl w:ilvl="0" w:tplc="0408000F">
      <w:start w:val="1"/>
      <w:numFmt w:val="decimal"/>
      <w:lvlText w:val="%1."/>
      <w:lvlJc w:val="left"/>
      <w:pPr>
        <w:ind w:left="1065" w:hanging="360"/>
      </w:pPr>
    </w:lvl>
    <w:lvl w:ilvl="1" w:tplc="04080019" w:tentative="1">
      <w:start w:val="1"/>
      <w:numFmt w:val="lowerLetter"/>
      <w:lvlText w:val="%2."/>
      <w:lvlJc w:val="left"/>
      <w:pPr>
        <w:ind w:left="1785" w:hanging="360"/>
      </w:pPr>
    </w:lvl>
    <w:lvl w:ilvl="2" w:tplc="0408001B" w:tentative="1">
      <w:start w:val="1"/>
      <w:numFmt w:val="lowerRoman"/>
      <w:lvlText w:val="%3."/>
      <w:lvlJc w:val="right"/>
      <w:pPr>
        <w:ind w:left="2505" w:hanging="180"/>
      </w:pPr>
    </w:lvl>
    <w:lvl w:ilvl="3" w:tplc="0408000F" w:tentative="1">
      <w:start w:val="1"/>
      <w:numFmt w:val="decimal"/>
      <w:lvlText w:val="%4."/>
      <w:lvlJc w:val="left"/>
      <w:pPr>
        <w:ind w:left="3225" w:hanging="360"/>
      </w:pPr>
    </w:lvl>
    <w:lvl w:ilvl="4" w:tplc="04080019" w:tentative="1">
      <w:start w:val="1"/>
      <w:numFmt w:val="lowerLetter"/>
      <w:lvlText w:val="%5."/>
      <w:lvlJc w:val="left"/>
      <w:pPr>
        <w:ind w:left="3945" w:hanging="360"/>
      </w:pPr>
    </w:lvl>
    <w:lvl w:ilvl="5" w:tplc="0408001B" w:tentative="1">
      <w:start w:val="1"/>
      <w:numFmt w:val="lowerRoman"/>
      <w:lvlText w:val="%6."/>
      <w:lvlJc w:val="right"/>
      <w:pPr>
        <w:ind w:left="4665" w:hanging="180"/>
      </w:pPr>
    </w:lvl>
    <w:lvl w:ilvl="6" w:tplc="0408000F" w:tentative="1">
      <w:start w:val="1"/>
      <w:numFmt w:val="decimal"/>
      <w:lvlText w:val="%7."/>
      <w:lvlJc w:val="left"/>
      <w:pPr>
        <w:ind w:left="5385" w:hanging="360"/>
      </w:pPr>
    </w:lvl>
    <w:lvl w:ilvl="7" w:tplc="04080019" w:tentative="1">
      <w:start w:val="1"/>
      <w:numFmt w:val="lowerLetter"/>
      <w:lvlText w:val="%8."/>
      <w:lvlJc w:val="left"/>
      <w:pPr>
        <w:ind w:left="6105" w:hanging="360"/>
      </w:pPr>
    </w:lvl>
    <w:lvl w:ilvl="8" w:tplc="040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8E1C29"/>
    <w:multiLevelType w:val="hybridMultilevel"/>
    <w:tmpl w:val="19FC42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26A60"/>
    <w:multiLevelType w:val="hybridMultilevel"/>
    <w:tmpl w:val="64CC85E0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535773EF"/>
    <w:multiLevelType w:val="hybridMultilevel"/>
    <w:tmpl w:val="E00852C0"/>
    <w:lvl w:ilvl="0" w:tplc="05A0204E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5B31369D"/>
    <w:multiLevelType w:val="hybridMultilevel"/>
    <w:tmpl w:val="E9CCB778"/>
    <w:lvl w:ilvl="0" w:tplc="0408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696C2883"/>
    <w:multiLevelType w:val="hybridMultilevel"/>
    <w:tmpl w:val="BA107F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67"/>
    <w:rsid w:val="00040FC3"/>
    <w:rsid w:val="00052A2C"/>
    <w:rsid w:val="00063BE2"/>
    <w:rsid w:val="00092885"/>
    <w:rsid w:val="000B0229"/>
    <w:rsid w:val="000E7562"/>
    <w:rsid w:val="0011241E"/>
    <w:rsid w:val="001216F4"/>
    <w:rsid w:val="00142D2F"/>
    <w:rsid w:val="001C26F3"/>
    <w:rsid w:val="00217A66"/>
    <w:rsid w:val="00237A7F"/>
    <w:rsid w:val="00244992"/>
    <w:rsid w:val="0024743E"/>
    <w:rsid w:val="002534D6"/>
    <w:rsid w:val="0027655D"/>
    <w:rsid w:val="00276A82"/>
    <w:rsid w:val="0028600B"/>
    <w:rsid w:val="002926D9"/>
    <w:rsid w:val="002942A6"/>
    <w:rsid w:val="00297B60"/>
    <w:rsid w:val="002A2CC2"/>
    <w:rsid w:val="002F59A3"/>
    <w:rsid w:val="003015D7"/>
    <w:rsid w:val="00325BDE"/>
    <w:rsid w:val="00335984"/>
    <w:rsid w:val="00383477"/>
    <w:rsid w:val="00386629"/>
    <w:rsid w:val="003A6595"/>
    <w:rsid w:val="003A689A"/>
    <w:rsid w:val="003B16BF"/>
    <w:rsid w:val="003F7BCA"/>
    <w:rsid w:val="004275BE"/>
    <w:rsid w:val="004660BE"/>
    <w:rsid w:val="004972BA"/>
    <w:rsid w:val="005043E7"/>
    <w:rsid w:val="00515A02"/>
    <w:rsid w:val="00525B89"/>
    <w:rsid w:val="00534E24"/>
    <w:rsid w:val="00541AC0"/>
    <w:rsid w:val="005447A4"/>
    <w:rsid w:val="005571E5"/>
    <w:rsid w:val="00586CBF"/>
    <w:rsid w:val="005D5C25"/>
    <w:rsid w:val="005D7C60"/>
    <w:rsid w:val="00624347"/>
    <w:rsid w:val="006A35A1"/>
    <w:rsid w:val="006B7FC1"/>
    <w:rsid w:val="00707AF0"/>
    <w:rsid w:val="0075144C"/>
    <w:rsid w:val="00770945"/>
    <w:rsid w:val="007D0ADE"/>
    <w:rsid w:val="00835A1D"/>
    <w:rsid w:val="00855C04"/>
    <w:rsid w:val="0088005D"/>
    <w:rsid w:val="00880C30"/>
    <w:rsid w:val="008E14C1"/>
    <w:rsid w:val="009516BB"/>
    <w:rsid w:val="009A3DC8"/>
    <w:rsid w:val="009C0D1D"/>
    <w:rsid w:val="00A162A2"/>
    <w:rsid w:val="00A24B01"/>
    <w:rsid w:val="00A354DA"/>
    <w:rsid w:val="00AA32BB"/>
    <w:rsid w:val="00AA7067"/>
    <w:rsid w:val="00AC6A5A"/>
    <w:rsid w:val="00B00F29"/>
    <w:rsid w:val="00B05B6D"/>
    <w:rsid w:val="00B06CFB"/>
    <w:rsid w:val="00B25386"/>
    <w:rsid w:val="00B5269C"/>
    <w:rsid w:val="00B66B2B"/>
    <w:rsid w:val="00B843D3"/>
    <w:rsid w:val="00BB505F"/>
    <w:rsid w:val="00BF7733"/>
    <w:rsid w:val="00C00B3B"/>
    <w:rsid w:val="00C174FB"/>
    <w:rsid w:val="00C34044"/>
    <w:rsid w:val="00C35A27"/>
    <w:rsid w:val="00C64C7C"/>
    <w:rsid w:val="00C72A5F"/>
    <w:rsid w:val="00CA2553"/>
    <w:rsid w:val="00CC3F96"/>
    <w:rsid w:val="00CD04E0"/>
    <w:rsid w:val="00CD3DB4"/>
    <w:rsid w:val="00CD3F0B"/>
    <w:rsid w:val="00CD4646"/>
    <w:rsid w:val="00CF359E"/>
    <w:rsid w:val="00D14C41"/>
    <w:rsid w:val="00D4606D"/>
    <w:rsid w:val="00D70246"/>
    <w:rsid w:val="00DB39F8"/>
    <w:rsid w:val="00DC19F8"/>
    <w:rsid w:val="00E03AA5"/>
    <w:rsid w:val="00E07207"/>
    <w:rsid w:val="00E277C5"/>
    <w:rsid w:val="00E42560"/>
    <w:rsid w:val="00E50C71"/>
    <w:rsid w:val="00E5518C"/>
    <w:rsid w:val="00E63130"/>
    <w:rsid w:val="00E839AA"/>
    <w:rsid w:val="00E8704F"/>
    <w:rsid w:val="00EB625E"/>
    <w:rsid w:val="00F12E8C"/>
    <w:rsid w:val="00F23A97"/>
    <w:rsid w:val="00F43935"/>
    <w:rsid w:val="00FB1D55"/>
    <w:rsid w:val="00FB7E3A"/>
    <w:rsid w:val="00FD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70C03"/>
  <w15:docId w15:val="{F106D13C-E442-43FF-B69C-8AC2186C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A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C30"/>
    <w:pPr>
      <w:ind w:left="720"/>
      <w:contextualSpacing/>
    </w:pPr>
  </w:style>
  <w:style w:type="character" w:styleId="a4">
    <w:name w:val="Strong"/>
    <w:basedOn w:val="a0"/>
    <w:uiPriority w:val="22"/>
    <w:qFormat/>
    <w:rsid w:val="00E50C71"/>
    <w:rPr>
      <w:b/>
      <w:bCs/>
    </w:rPr>
  </w:style>
  <w:style w:type="character" w:styleId="-">
    <w:name w:val="Hyperlink"/>
    <w:basedOn w:val="a0"/>
    <w:uiPriority w:val="99"/>
    <w:semiHidden/>
    <w:unhideWhenUsed/>
    <w:rsid w:val="00E50C71"/>
    <w:rPr>
      <w:color w:val="0000FF"/>
      <w:u w:val="single"/>
    </w:rPr>
  </w:style>
  <w:style w:type="paragraph" w:customStyle="1" w:styleId="Default">
    <w:name w:val="Default"/>
    <w:rsid w:val="00E839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063BE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063BE2"/>
    <w:rPr>
      <w:sz w:val="22"/>
      <w:szCs w:val="22"/>
      <w:lang w:eastAsia="en-US"/>
    </w:rPr>
  </w:style>
  <w:style w:type="paragraph" w:styleId="a6">
    <w:name w:val="footer"/>
    <w:basedOn w:val="a"/>
    <w:link w:val="Char0"/>
    <w:uiPriority w:val="99"/>
    <w:unhideWhenUsed/>
    <w:rsid w:val="00063BE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063BE2"/>
    <w:rPr>
      <w:sz w:val="22"/>
      <w:szCs w:val="22"/>
      <w:lang w:eastAsia="en-US"/>
    </w:rPr>
  </w:style>
  <w:style w:type="paragraph" w:customStyle="1" w:styleId="Style371">
    <w:name w:val="Style371"/>
    <w:basedOn w:val="a"/>
    <w:rsid w:val="00541AC0"/>
    <w:pPr>
      <w:spacing w:after="0" w:line="227" w:lineRule="exact"/>
      <w:jc w:val="center"/>
    </w:pPr>
    <w:rPr>
      <w:rFonts w:ascii="Tahoma" w:eastAsia="Tahoma" w:hAnsi="Tahoma" w:cs="Tahoma"/>
      <w:sz w:val="20"/>
      <w:szCs w:val="20"/>
      <w:lang w:eastAsia="el-GR"/>
    </w:rPr>
  </w:style>
  <w:style w:type="paragraph" w:styleId="a7">
    <w:name w:val="Body Text"/>
    <w:basedOn w:val="a"/>
    <w:link w:val="Char1"/>
    <w:uiPriority w:val="1"/>
    <w:qFormat/>
    <w:rsid w:val="00541A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el-GR"/>
    </w:rPr>
  </w:style>
  <w:style w:type="character" w:customStyle="1" w:styleId="Char1">
    <w:name w:val="Σώμα κειμένου Char"/>
    <w:basedOn w:val="a0"/>
    <w:link w:val="a7"/>
    <w:uiPriority w:val="1"/>
    <w:rsid w:val="00541AC0"/>
    <w:rPr>
      <w:rFonts w:ascii="Arial" w:eastAsiaTheme="minorEastAsia" w:hAnsi="Arial" w:cs="Arial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541AC0"/>
    <w:pPr>
      <w:widowControl w:val="0"/>
      <w:autoSpaceDE w:val="0"/>
      <w:autoSpaceDN w:val="0"/>
      <w:adjustRightInd w:val="0"/>
      <w:spacing w:after="0" w:line="240" w:lineRule="auto"/>
      <w:ind w:left="146"/>
    </w:pPr>
    <w:rPr>
      <w:rFonts w:ascii="Arial" w:eastAsiaTheme="minorEastAsia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7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dnt</dc:creator>
  <cp:lastModifiedBy>antreas triantafilis</cp:lastModifiedBy>
  <cp:revision>6</cp:revision>
  <cp:lastPrinted>2018-04-17T10:14:00Z</cp:lastPrinted>
  <dcterms:created xsi:type="dcterms:W3CDTF">2022-06-14T11:50:00Z</dcterms:created>
  <dcterms:modified xsi:type="dcterms:W3CDTF">2022-06-14T11:54:00Z</dcterms:modified>
</cp:coreProperties>
</file>